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360" w:lineRule="atLeast"/>
        <w:ind w:left="72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トップアスリート支援事業交付金交付要綱</w:t>
      </w:r>
    </w:p>
    <w:p>
      <w:pPr>
        <w:pStyle w:val="0"/>
        <w:spacing w:before="0" w:beforeLines="0" w:beforeAutospacing="0" w:after="0" w:afterLines="0" w:afterAutospacing="0" w:line="360" w:lineRule="atLeast"/>
        <w:ind w:left="0" w:right="0" w:firstLine="0"/>
        <w:jc w:val="righ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平成</w:t>
      </w:r>
      <w:r>
        <w:rPr>
          <w:rFonts w:hint="default" w:ascii="ＭＳ 明朝" w:hAnsi="ＭＳ 明朝" w:eastAsia="ＭＳ 明朝"/>
          <w:b w:val="0"/>
          <w:i w:val="0"/>
          <w:strike w:val="0"/>
          <w:color w:val="000000"/>
          <w:sz w:val="24"/>
          <w:u w:val="none" w:color="auto"/>
        </w:rPr>
        <w:t>31</w:t>
      </w:r>
      <w:r>
        <w:rPr>
          <w:rFonts w:hint="default" w:ascii="ＭＳ 明朝" w:hAnsi="ＭＳ 明朝" w:eastAsia="ＭＳ 明朝"/>
          <w:b w:val="0"/>
          <w:i w:val="0"/>
          <w:strike w:val="0"/>
          <w:color w:val="000000"/>
          <w:sz w:val="24"/>
          <w:u w:val="none" w:color="auto"/>
        </w:rPr>
        <w:t>年３月</w:t>
      </w:r>
      <w:r>
        <w:rPr>
          <w:rFonts w:hint="default" w:ascii="ＭＳ 明朝" w:hAnsi="ＭＳ 明朝" w:eastAsia="ＭＳ 明朝"/>
          <w:b w:val="0"/>
          <w:i w:val="0"/>
          <w:strike w:val="0"/>
          <w:color w:val="000000"/>
          <w:sz w:val="24"/>
          <w:u w:val="none" w:color="auto"/>
        </w:rPr>
        <w:t>11</w:t>
      </w:r>
      <w:r>
        <w:rPr>
          <w:rFonts w:hint="default" w:ascii="ＭＳ 明朝" w:hAnsi="ＭＳ 明朝" w:eastAsia="ＭＳ 明朝"/>
          <w:b w:val="0"/>
          <w:i w:val="0"/>
          <w:strike w:val="0"/>
          <w:color w:val="000000"/>
          <w:sz w:val="24"/>
          <w:u w:val="none" w:color="auto"/>
        </w:rPr>
        <w:t>日</w:t>
      </w:r>
    </w:p>
    <w:p>
      <w:pPr>
        <w:pStyle w:val="0"/>
        <w:spacing w:before="0" w:beforeLines="0" w:beforeAutospacing="0" w:after="0" w:afterLines="0" w:afterAutospacing="0" w:line="360" w:lineRule="atLeast"/>
        <w:ind w:left="0" w:right="0" w:firstLine="0"/>
        <w:jc w:val="righ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告示第</w:t>
      </w:r>
      <w:r>
        <w:rPr>
          <w:rFonts w:hint="default" w:ascii="ＭＳ 明朝" w:hAnsi="ＭＳ 明朝" w:eastAsia="ＭＳ 明朝"/>
          <w:b w:val="0"/>
          <w:i w:val="0"/>
          <w:strike w:val="0"/>
          <w:color w:val="000000"/>
          <w:sz w:val="24"/>
          <w:u w:val="none" w:color="auto"/>
        </w:rPr>
        <w:t>14</w:t>
      </w:r>
      <w:r>
        <w:rPr>
          <w:rFonts w:hint="default" w:ascii="ＭＳ 明朝" w:hAnsi="ＭＳ 明朝" w:eastAsia="ＭＳ 明朝"/>
          <w:b w:val="0"/>
          <w:i w:val="0"/>
          <w:strike w:val="0"/>
          <w:color w:val="000000"/>
          <w:sz w:val="24"/>
          <w:u w:val="none" w:color="auto"/>
        </w:rPr>
        <w:t>号</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（目的）</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第１条　この要綱は、スポーツ競技においてトップアスリートとして活動し、スポーツを通じた地域活性化など、町内外の人々から広く共感を得られる取り組みを行う個人や団体を支援することを目的に交付金を交付するものとし、その交付に関しては、北広島町補助金交付規則（平成</w:t>
      </w:r>
      <w:r>
        <w:rPr>
          <w:rFonts w:hint="default" w:ascii="ＭＳ 明朝" w:hAnsi="ＭＳ 明朝" w:eastAsia="ＭＳ 明朝"/>
          <w:b w:val="0"/>
          <w:i w:val="0"/>
          <w:strike w:val="0"/>
          <w:color w:val="000000"/>
          <w:sz w:val="24"/>
          <w:u w:val="none" w:color="auto"/>
        </w:rPr>
        <w:t>17</w:t>
      </w:r>
      <w:r>
        <w:rPr>
          <w:rFonts w:hint="default" w:ascii="ＭＳ 明朝" w:hAnsi="ＭＳ 明朝" w:eastAsia="ＭＳ 明朝"/>
          <w:b w:val="0"/>
          <w:i w:val="0"/>
          <w:strike w:val="0"/>
          <w:color w:val="000000"/>
          <w:sz w:val="24"/>
          <w:u w:val="none" w:color="auto"/>
        </w:rPr>
        <w:t>年北広島町規則第</w:t>
      </w:r>
      <w:r>
        <w:rPr>
          <w:rFonts w:hint="default" w:ascii="ＭＳ 明朝" w:hAnsi="ＭＳ 明朝" w:eastAsia="ＭＳ 明朝"/>
          <w:b w:val="0"/>
          <w:i w:val="0"/>
          <w:strike w:val="0"/>
          <w:color w:val="000000"/>
          <w:sz w:val="24"/>
          <w:u w:val="none" w:color="auto"/>
        </w:rPr>
        <w:t>50</w:t>
      </w:r>
      <w:r>
        <w:rPr>
          <w:rFonts w:hint="default" w:ascii="ＭＳ 明朝" w:hAnsi="ＭＳ 明朝" w:eastAsia="ＭＳ 明朝"/>
          <w:b w:val="0"/>
          <w:i w:val="0"/>
          <w:strike w:val="0"/>
          <w:color w:val="000000"/>
          <w:sz w:val="24"/>
          <w:u w:val="none" w:color="auto"/>
        </w:rPr>
        <w:t>号）に規定するもののほかこの要綱に定めるところによる。</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（用語の定義）</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第２条　この要綱において、次の各号に掲げる用語の意義は、それぞれ当該各号に定めるところによる。</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(1)</w:t>
      </w:r>
      <w:r>
        <w:rPr>
          <w:rFonts w:hint="default" w:ascii="ＭＳ 明朝" w:hAnsi="ＭＳ 明朝" w:eastAsia="ＭＳ 明朝"/>
          <w:b w:val="0"/>
          <w:i w:val="0"/>
          <w:strike w:val="0"/>
          <w:color w:val="000000"/>
          <w:sz w:val="24"/>
          <w:u w:val="none" w:color="auto"/>
        </w:rPr>
        <w:t>　トップアスリート　現役のスポーツ選手として活動し、全国大会で優秀な成績を有する者又は国際大会に出場実績を有する者のことをいう。</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(2)</w:t>
      </w:r>
      <w:r>
        <w:rPr>
          <w:rFonts w:hint="default" w:ascii="ＭＳ 明朝" w:hAnsi="ＭＳ 明朝" w:eastAsia="ＭＳ 明朝"/>
          <w:b w:val="0"/>
          <w:i w:val="0"/>
          <w:strike w:val="0"/>
          <w:color w:val="000000"/>
          <w:sz w:val="24"/>
          <w:u w:val="none" w:color="auto"/>
        </w:rPr>
        <w:t>　個人　トップアスリートとして現役で活動している者で今後、全国大会、国際大会での活躍が期待できる者のことをいう。</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(3)</w:t>
      </w:r>
      <w:r>
        <w:rPr>
          <w:rFonts w:hint="default" w:ascii="ＭＳ 明朝" w:hAnsi="ＭＳ 明朝" w:eastAsia="ＭＳ 明朝"/>
          <w:b w:val="0"/>
          <w:i w:val="0"/>
          <w:strike w:val="0"/>
          <w:color w:val="000000"/>
          <w:sz w:val="24"/>
          <w:u w:val="none" w:color="auto"/>
        </w:rPr>
        <w:t>　団体　トップアスリートが所属する町内を拠点に活動する団体又はトップアスリートを後援する団体のことをいう。</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(4)</w:t>
      </w:r>
      <w:r>
        <w:rPr>
          <w:rFonts w:hint="default" w:ascii="ＭＳ 明朝" w:hAnsi="ＭＳ 明朝" w:eastAsia="ＭＳ 明朝"/>
          <w:b w:val="0"/>
          <w:i w:val="0"/>
          <w:strike w:val="0"/>
          <w:color w:val="000000"/>
          <w:sz w:val="24"/>
          <w:u w:val="none" w:color="auto"/>
        </w:rPr>
        <w:t>　交付金　交付対象団体からの事業提案をもとに、本町がふるさと寄附制度を活用し、広く寄附を募り、集まった寄付金を原資に交付するもののことをいう。</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（支援対象）</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第３条　交付金の支援対象となるトップアスリートは、次に掲げる要件のいずれかに該当する者とする。</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(1)</w:t>
      </w:r>
      <w:r>
        <w:rPr>
          <w:rFonts w:hint="default" w:ascii="ＭＳ 明朝" w:hAnsi="ＭＳ 明朝" w:eastAsia="ＭＳ 明朝"/>
          <w:b w:val="0"/>
          <w:i w:val="0"/>
          <w:strike w:val="0"/>
          <w:color w:val="000000"/>
          <w:sz w:val="24"/>
          <w:u w:val="none" w:color="auto"/>
        </w:rPr>
        <w:t>　町内を拠点に活動する団体。</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(2)</w:t>
      </w:r>
      <w:r>
        <w:rPr>
          <w:rFonts w:hint="default" w:ascii="ＭＳ 明朝" w:hAnsi="ＭＳ 明朝" w:eastAsia="ＭＳ 明朝"/>
          <w:b w:val="0"/>
          <w:i w:val="0"/>
          <w:strike w:val="0"/>
          <w:color w:val="000000"/>
          <w:sz w:val="24"/>
          <w:u w:val="none" w:color="auto"/>
        </w:rPr>
        <w:t>　町内に住所を有し、個人で活動している者。ただし、町内に後援する団体を有すること。</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２　前項に規定する団体は、次に掲げる要件の全てに該当する団体（以下、「事業対象団体」という。）とする。</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(1)</w:t>
      </w:r>
      <w:r>
        <w:rPr>
          <w:rFonts w:hint="default" w:ascii="ＭＳ 明朝" w:hAnsi="ＭＳ 明朝" w:eastAsia="ＭＳ 明朝"/>
          <w:b w:val="0"/>
          <w:i w:val="0"/>
          <w:strike w:val="0"/>
          <w:color w:val="000000"/>
          <w:sz w:val="24"/>
          <w:u w:val="none" w:color="auto"/>
        </w:rPr>
        <w:t>　町内を活動の拠点としていること。</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(2)</w:t>
      </w:r>
      <w:r>
        <w:rPr>
          <w:rFonts w:hint="default" w:ascii="ＭＳ 明朝" w:hAnsi="ＭＳ 明朝" w:eastAsia="ＭＳ 明朝"/>
          <w:b w:val="0"/>
          <w:i w:val="0"/>
          <w:strike w:val="0"/>
          <w:color w:val="000000"/>
          <w:sz w:val="24"/>
          <w:u w:val="none" w:color="auto"/>
        </w:rPr>
        <w:t>　北広島町長期総合計画及び北広島町スポーツ推進計画に沿ったスポーツを通じた地域活性化活動を行っている団体。</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(3)</w:t>
      </w:r>
      <w:r>
        <w:rPr>
          <w:rFonts w:hint="default" w:ascii="ＭＳ 明朝" w:hAnsi="ＭＳ 明朝" w:eastAsia="ＭＳ 明朝"/>
          <w:b w:val="0"/>
          <w:i w:val="0"/>
          <w:strike w:val="0"/>
          <w:color w:val="000000"/>
          <w:sz w:val="24"/>
          <w:u w:val="none" w:color="auto"/>
        </w:rPr>
        <w:t>　活動の目的が営利を主としている団体でないこと。</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(4)</w:t>
      </w:r>
      <w:r>
        <w:rPr>
          <w:rFonts w:hint="default" w:ascii="ＭＳ 明朝" w:hAnsi="ＭＳ 明朝" w:eastAsia="ＭＳ 明朝"/>
          <w:b w:val="0"/>
          <w:i w:val="0"/>
          <w:strike w:val="0"/>
          <w:color w:val="000000"/>
          <w:sz w:val="24"/>
          <w:u w:val="none" w:color="auto"/>
        </w:rPr>
        <w:t>　法人格を有する団体でないこと。ただし、営利を目的としない法人は除く。</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(5)</w:t>
      </w:r>
      <w:r>
        <w:rPr>
          <w:rFonts w:hint="default" w:ascii="ＭＳ 明朝" w:hAnsi="ＭＳ 明朝" w:eastAsia="ＭＳ 明朝"/>
          <w:b w:val="0"/>
          <w:i w:val="0"/>
          <w:strike w:val="0"/>
          <w:color w:val="000000"/>
          <w:sz w:val="24"/>
          <w:u w:val="none" w:color="auto"/>
        </w:rPr>
        <w:t>　事業の実施から実績報告まで遅滞なく履行できること。</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(6)</w:t>
      </w:r>
      <w:r>
        <w:rPr>
          <w:rFonts w:hint="default" w:ascii="ＭＳ 明朝" w:hAnsi="ＭＳ 明朝" w:eastAsia="ＭＳ 明朝"/>
          <w:b w:val="0"/>
          <w:i w:val="0"/>
          <w:strike w:val="0"/>
          <w:color w:val="000000"/>
          <w:sz w:val="24"/>
          <w:u w:val="none" w:color="auto"/>
        </w:rPr>
        <w:t>　規約又は会則を有する団体であること。</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(7)</w:t>
      </w:r>
      <w:r>
        <w:rPr>
          <w:rFonts w:hint="default" w:ascii="ＭＳ 明朝" w:hAnsi="ＭＳ 明朝" w:eastAsia="ＭＳ 明朝"/>
          <w:b w:val="0"/>
          <w:i w:val="0"/>
          <w:strike w:val="0"/>
          <w:color w:val="000000"/>
          <w:sz w:val="24"/>
          <w:u w:val="none" w:color="auto"/>
        </w:rPr>
        <w:t>　宗教の教義を広め、儀式行事を行い、及び信者を教化育成することを主たる目的とする団体でないこと。</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（交付対象者等）</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第４条　交付金の対象者は事業対象団体とする。</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２　交付金の交付の対象となる事業は、次の各号に定める要件とする。</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(1)</w:t>
      </w:r>
      <w:r>
        <w:rPr>
          <w:rFonts w:hint="default" w:ascii="ＭＳ 明朝" w:hAnsi="ＭＳ 明朝" w:eastAsia="ＭＳ 明朝"/>
          <w:b w:val="0"/>
          <w:i w:val="0"/>
          <w:strike w:val="0"/>
          <w:color w:val="000000"/>
          <w:sz w:val="24"/>
          <w:u w:val="none" w:color="auto"/>
        </w:rPr>
        <w:t>　スポーツ競技の、トップアスリートが活動する事業であり本町のスポーツ振興を牽引する事業であること。</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(2)</w:t>
      </w:r>
      <w:r>
        <w:rPr>
          <w:rFonts w:hint="default" w:ascii="ＭＳ 明朝" w:hAnsi="ＭＳ 明朝" w:eastAsia="ＭＳ 明朝"/>
          <w:b w:val="0"/>
          <w:i w:val="0"/>
          <w:strike w:val="0"/>
          <w:color w:val="000000"/>
          <w:sz w:val="24"/>
          <w:u w:val="none" w:color="auto"/>
        </w:rPr>
        <w:t>　スポーツを通じた地域の活性化や地域課題の解決に繋がる地方創生に資する事業であること。</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(3)</w:t>
      </w:r>
      <w:r>
        <w:rPr>
          <w:rFonts w:hint="default" w:ascii="ＭＳ 明朝" w:hAnsi="ＭＳ 明朝" w:eastAsia="ＭＳ 明朝"/>
          <w:b w:val="0"/>
          <w:i w:val="0"/>
          <w:strike w:val="0"/>
          <w:color w:val="000000"/>
          <w:sz w:val="24"/>
          <w:u w:val="none" w:color="auto"/>
        </w:rPr>
        <w:t>　町内外の人々から広く共感を得られる事業であること。</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(4)</w:t>
      </w:r>
      <w:r>
        <w:rPr>
          <w:rFonts w:hint="default" w:ascii="ＭＳ 明朝" w:hAnsi="ＭＳ 明朝" w:eastAsia="ＭＳ 明朝"/>
          <w:b w:val="0"/>
          <w:i w:val="0"/>
          <w:strike w:val="0"/>
          <w:color w:val="000000"/>
          <w:sz w:val="24"/>
          <w:u w:val="none" w:color="auto"/>
        </w:rPr>
        <w:t>　特定の政治・思想・宗教等の活動を行う事業でないこと。</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(5)</w:t>
      </w:r>
      <w:r>
        <w:rPr>
          <w:rFonts w:hint="default" w:ascii="ＭＳ 明朝" w:hAnsi="ＭＳ 明朝" w:eastAsia="ＭＳ 明朝"/>
          <w:b w:val="0"/>
          <w:i w:val="0"/>
          <w:strike w:val="0"/>
          <w:color w:val="000000"/>
          <w:sz w:val="24"/>
          <w:u w:val="none" w:color="auto"/>
        </w:rPr>
        <w:t>　専ら、団体等の利益追求のために行う事業でないこと。</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３　交付金の交付の対象となる経費は、別表に定める交付対象経費のうち、町長が適当と認めるものについて交付する。</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（交付金額）</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第５条　町長は、事業対象団体に対して、予算の範囲内において、交付金を交付する。</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２　事業対象団体に交付する交付金は、ふるさと寄附により事業対象団体が実施する事業に対して集まった寄附金から、町が当該事業に要した費用相当額を差し引いた額とする。</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（交付対象事業の認定）</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第６条　交付金の交付を受けようとする事業対象団体は、別に定めるトップアスリート支援事業募集要項に従い、トップアスリート支援事業認定申請書（別記様式第１号）に次の各号に掲げる書類を添えて、町長に提出しなければならない。</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(1)</w:t>
      </w:r>
      <w:r>
        <w:rPr>
          <w:rFonts w:hint="default" w:ascii="ＭＳ 明朝" w:hAnsi="ＭＳ 明朝" w:eastAsia="ＭＳ 明朝"/>
          <w:b w:val="0"/>
          <w:i w:val="0"/>
          <w:strike w:val="0"/>
          <w:color w:val="000000"/>
          <w:sz w:val="24"/>
          <w:u w:val="none" w:color="auto"/>
        </w:rPr>
        <w:t>　事業計画書（別紙１）</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(2)</w:t>
      </w:r>
      <w:r>
        <w:rPr>
          <w:rFonts w:hint="default" w:ascii="ＭＳ 明朝" w:hAnsi="ＭＳ 明朝" w:eastAsia="ＭＳ 明朝"/>
          <w:b w:val="0"/>
          <w:i w:val="0"/>
          <w:strike w:val="0"/>
          <w:color w:val="000000"/>
          <w:sz w:val="24"/>
          <w:u w:val="none" w:color="auto"/>
        </w:rPr>
        <w:t>　収支予算書（別紙２）</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(3)</w:t>
      </w:r>
      <w:r>
        <w:rPr>
          <w:rFonts w:hint="default" w:ascii="ＭＳ 明朝" w:hAnsi="ＭＳ 明朝" w:eastAsia="ＭＳ 明朝"/>
          <w:b w:val="0"/>
          <w:i w:val="0"/>
          <w:strike w:val="0"/>
          <w:color w:val="000000"/>
          <w:sz w:val="24"/>
          <w:u w:val="none" w:color="auto"/>
        </w:rPr>
        <w:t>　その他町長が必要と認める書類</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２　町長は、申請された事業について支援対象の可否を審査するため、選定委員会を置き、選定委員会の組織、運営その他必要な事項は、別に定める。</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３　町長は、第１項の規定による申請があったときは、選定委員会を開催し、その審査結果に基づき認定する事業（以下、「認定事業」という。）には、トップアスリート支援事業認定通知書（別記様式第２号）により、不認定とする事業には、トップアスリート支援事業不認定通知書（別記様式第３号）により通知するものとする。</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４　事業の認定を受けた団体は、同一の経費に充当する町が交付する補助金、交付金等を受けることができない。</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５　町長は、第３項の規定による認定事業において、必要と認められる条件を付すことができる。</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（認定事業の期間等）</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第７条　認定事業の期間は、前条第３項の規定による支援事業認定通知を受けた年度から起算して３年間とする。</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２　認定事業の期間終了後に、再度認定申請書を町長に提出することができる。</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（事業の開始及び中止）</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第８条　第６条第３項の規定による、認定通知書を受理した団体（以下「認定団体」という。）は、トップアスリート支援事業開始届（別記様式第４号）を町長に提出しなければならない。</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２　認定団体が解散等により、認定事業の継続が不可能となった場合は、トップアスリート支援事業中止届（別記様式第５号）を町長に提出しなければならない。</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３　町長は、前項の規定により、事業中止届が提出されたときは、トップアスリート支援事業認定取消通知書（別記様式第６号）を認定団体に通知するものとする。</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４　町長は、前項の規定に基づき事業の認定取り消しを行った場合は、すみやかに当該事業に対するふるさと寄附金の受付を停止する。</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５　町長は、認定取消を行った時点で認定取消を受けた団体に交付されていないふるさと寄附金については、ふるさと基金に積立を行い、町が行うスポーツ振興事業の財源とすることができる。</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（寄附の募集）</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第９条　町長は、認定団体から前条第１項の規定による事業開始届の提出があった場合は、速やかに町が運営するサイト等に認定事業を掲載し、寄附を募るものとする。</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（交付金交付額の決定）</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10</w:t>
      </w:r>
      <w:r>
        <w:rPr>
          <w:rFonts w:hint="default" w:ascii="ＭＳ 明朝" w:hAnsi="ＭＳ 明朝" w:eastAsia="ＭＳ 明朝"/>
          <w:b w:val="0"/>
          <w:i w:val="0"/>
          <w:strike w:val="0"/>
          <w:color w:val="000000"/>
          <w:sz w:val="24"/>
          <w:u w:val="none" w:color="auto"/>
        </w:rPr>
        <w:t>条　町長は、第５条第２項の規定に基づき交付金額を決定した後、認定団体に対して、トップアスリート支援事業交付金額決定通知（別記様式第７号）により通知するものとする。</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２　交付金の決定時期は、次のとおりとする。</w:t>
      </w:r>
    </w:p>
    <w:p>
      <w:pPr>
        <w:pStyle w:val="0"/>
        <w:spacing w:before="0" w:beforeLines="0" w:beforeAutospacing="0" w:after="0" w:afterLines="0" w:afterAutospacing="0" w:line="360" w:lineRule="atLeast"/>
        <w:ind w:left="72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１</w:t>
      </w: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　４月から６月寄附金は、７月</w:t>
      </w:r>
    </w:p>
    <w:p>
      <w:pPr>
        <w:pStyle w:val="0"/>
        <w:spacing w:before="0" w:beforeLines="0" w:beforeAutospacing="0" w:after="0" w:afterLines="0" w:afterAutospacing="0" w:line="360" w:lineRule="atLeast"/>
        <w:ind w:left="72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２</w:t>
      </w: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　７月から９月寄附金は、</w:t>
      </w:r>
      <w:r>
        <w:rPr>
          <w:rFonts w:hint="default" w:ascii="ＭＳ 明朝" w:hAnsi="ＭＳ 明朝" w:eastAsia="ＭＳ 明朝"/>
          <w:b w:val="0"/>
          <w:i w:val="0"/>
          <w:strike w:val="0"/>
          <w:color w:val="000000"/>
          <w:sz w:val="24"/>
          <w:u w:val="none" w:color="auto"/>
        </w:rPr>
        <w:t>10</w:t>
      </w:r>
      <w:r>
        <w:rPr>
          <w:rFonts w:hint="default" w:ascii="ＭＳ 明朝" w:hAnsi="ＭＳ 明朝" w:eastAsia="ＭＳ 明朝"/>
          <w:b w:val="0"/>
          <w:i w:val="0"/>
          <w:strike w:val="0"/>
          <w:color w:val="000000"/>
          <w:sz w:val="24"/>
          <w:u w:val="none" w:color="auto"/>
        </w:rPr>
        <w:t>月</w:t>
      </w:r>
    </w:p>
    <w:p>
      <w:pPr>
        <w:pStyle w:val="0"/>
        <w:spacing w:before="0" w:beforeLines="0" w:beforeAutospacing="0" w:after="0" w:afterLines="0" w:afterAutospacing="0" w:line="360" w:lineRule="atLeast"/>
        <w:ind w:left="72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３</w:t>
      </w: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　</w:t>
      </w:r>
      <w:r>
        <w:rPr>
          <w:rFonts w:hint="default" w:ascii="ＭＳ 明朝" w:hAnsi="ＭＳ 明朝" w:eastAsia="ＭＳ 明朝"/>
          <w:b w:val="0"/>
          <w:i w:val="0"/>
          <w:strike w:val="0"/>
          <w:color w:val="000000"/>
          <w:sz w:val="24"/>
          <w:u w:val="none" w:color="auto"/>
        </w:rPr>
        <w:t>10</w:t>
      </w:r>
      <w:r>
        <w:rPr>
          <w:rFonts w:hint="default" w:ascii="ＭＳ 明朝" w:hAnsi="ＭＳ 明朝" w:eastAsia="ＭＳ 明朝"/>
          <w:b w:val="0"/>
          <w:i w:val="0"/>
          <w:strike w:val="0"/>
          <w:color w:val="000000"/>
          <w:sz w:val="24"/>
          <w:u w:val="none" w:color="auto"/>
        </w:rPr>
        <w:t>月から</w:t>
      </w:r>
      <w:r>
        <w:rPr>
          <w:rFonts w:hint="default" w:ascii="ＭＳ 明朝" w:hAnsi="ＭＳ 明朝" w:eastAsia="ＭＳ 明朝"/>
          <w:b w:val="0"/>
          <w:i w:val="0"/>
          <w:strike w:val="0"/>
          <w:color w:val="000000"/>
          <w:sz w:val="24"/>
          <w:u w:val="none" w:color="auto"/>
        </w:rPr>
        <w:t>12</w:t>
      </w:r>
      <w:r>
        <w:rPr>
          <w:rFonts w:hint="default" w:ascii="ＭＳ 明朝" w:hAnsi="ＭＳ 明朝" w:eastAsia="ＭＳ 明朝"/>
          <w:b w:val="0"/>
          <w:i w:val="0"/>
          <w:strike w:val="0"/>
          <w:color w:val="000000"/>
          <w:sz w:val="24"/>
          <w:u w:val="none" w:color="auto"/>
        </w:rPr>
        <w:t>月寄附金は、１月</w:t>
      </w:r>
    </w:p>
    <w:p>
      <w:pPr>
        <w:pStyle w:val="0"/>
        <w:spacing w:before="0" w:beforeLines="0" w:beforeAutospacing="0" w:after="0" w:afterLines="0" w:afterAutospacing="0" w:line="360" w:lineRule="atLeast"/>
        <w:ind w:left="72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４</w:t>
      </w:r>
      <w:r>
        <w:rPr>
          <w:rFonts w:hint="default" w:ascii="ＭＳ 明朝" w:hAnsi="ＭＳ 明朝" w:eastAsia="ＭＳ 明朝"/>
          <w:b w:val="0"/>
          <w:i w:val="0"/>
          <w:strike w:val="0"/>
          <w:color w:val="000000"/>
          <w:sz w:val="24"/>
          <w:u w:val="none" w:color="auto"/>
        </w:rPr>
        <w:t>)</w:t>
      </w:r>
      <w:r>
        <w:rPr>
          <w:rFonts w:hint="default" w:ascii="ＭＳ 明朝" w:hAnsi="ＭＳ 明朝" w:eastAsia="ＭＳ 明朝"/>
          <w:b w:val="0"/>
          <w:i w:val="0"/>
          <w:strike w:val="0"/>
          <w:color w:val="000000"/>
          <w:sz w:val="24"/>
          <w:u w:val="none" w:color="auto"/>
        </w:rPr>
        <w:t>　１月から３月寄附金は、翌年度の４月</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３　前項の規定にかかわらず、認定事業の最終年度の３月末までに寄附の申込みを受け、同年４月末までに受納した寄附金は、最終年度の寄附金として取り扱うものとする。</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（交付金の請求及び交付）</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11</w:t>
      </w:r>
      <w:r>
        <w:rPr>
          <w:rFonts w:hint="default" w:ascii="ＭＳ 明朝" w:hAnsi="ＭＳ 明朝" w:eastAsia="ＭＳ 明朝"/>
          <w:b w:val="0"/>
          <w:i w:val="0"/>
          <w:strike w:val="0"/>
          <w:color w:val="000000"/>
          <w:sz w:val="24"/>
          <w:u w:val="none" w:color="auto"/>
        </w:rPr>
        <w:t>条　認定団体は、交付金額決定通知書を受理後、速やかにトップアスリート支援事業交付金交付請求書（別記様式第８号）を町長に提出しなければならない。</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２　町長は、前項の規定による請求があったときは、その内容を確認の上、認定団体に交付金を交付する。</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（認定事業の内容変更）</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12</w:t>
      </w:r>
      <w:r>
        <w:rPr>
          <w:rFonts w:hint="default" w:ascii="ＭＳ 明朝" w:hAnsi="ＭＳ 明朝" w:eastAsia="ＭＳ 明朝"/>
          <w:b w:val="0"/>
          <w:i w:val="0"/>
          <w:strike w:val="0"/>
          <w:color w:val="000000"/>
          <w:sz w:val="24"/>
          <w:u w:val="none" w:color="auto"/>
        </w:rPr>
        <w:t>条　認定団体は、第６条の規定により提出した事業計画書及び収支予算書に大きく変更が生じるときは、トップアスリート支援事業変更承認申請書（別記様式第９号）に次の各号に掲げる書類を添えて町長に提出しなければならない。ただし、収支予算書における収入の部の交付金部分を自己調達、自己資金にて賄う内訳変更については、変更申請書の提出は不要とする。</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(1)</w:t>
      </w:r>
      <w:r>
        <w:rPr>
          <w:rFonts w:hint="default" w:ascii="ＭＳ 明朝" w:hAnsi="ＭＳ 明朝" w:eastAsia="ＭＳ 明朝"/>
          <w:b w:val="0"/>
          <w:i w:val="0"/>
          <w:strike w:val="0"/>
          <w:color w:val="000000"/>
          <w:sz w:val="24"/>
          <w:u w:val="none" w:color="auto"/>
        </w:rPr>
        <w:t>　事業変更計画書（別紙３）</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(2)</w:t>
      </w:r>
      <w:r>
        <w:rPr>
          <w:rFonts w:hint="default" w:ascii="ＭＳ 明朝" w:hAnsi="ＭＳ 明朝" w:eastAsia="ＭＳ 明朝"/>
          <w:b w:val="0"/>
          <w:i w:val="0"/>
          <w:strike w:val="0"/>
          <w:color w:val="000000"/>
          <w:sz w:val="24"/>
          <w:u w:val="none" w:color="auto"/>
        </w:rPr>
        <w:t>　変更後収支予算書（別紙４）</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(3)</w:t>
      </w:r>
      <w:r>
        <w:rPr>
          <w:rFonts w:hint="default" w:ascii="ＭＳ 明朝" w:hAnsi="ＭＳ 明朝" w:eastAsia="ＭＳ 明朝"/>
          <w:b w:val="0"/>
          <w:i w:val="0"/>
          <w:strike w:val="0"/>
          <w:color w:val="000000"/>
          <w:sz w:val="24"/>
          <w:u w:val="none" w:color="auto"/>
        </w:rPr>
        <w:t>　その他町長が必要と認める書類</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２　認定団体は、ふるさと寄附金による寄附金額が、認定申請書の収支予算書（別紙２）に記載している交付金額を上回った場合又は下回った場合には、規定に基づき必要な書類を添えて町長に提出しなければならない。</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（内容変更の承認）</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13</w:t>
      </w:r>
      <w:r>
        <w:rPr>
          <w:rFonts w:hint="default" w:ascii="ＭＳ 明朝" w:hAnsi="ＭＳ 明朝" w:eastAsia="ＭＳ 明朝"/>
          <w:b w:val="0"/>
          <w:i w:val="0"/>
          <w:strike w:val="0"/>
          <w:color w:val="000000"/>
          <w:sz w:val="24"/>
          <w:u w:val="none" w:color="auto"/>
        </w:rPr>
        <w:t>条　町長は、前条の規定により、変更届の提出があったときは、その内容を審査の上、変更内容が適当であると認めるときは、決定事項をトップアスリート支援事業変更承認通知書（別記様式第</w:t>
      </w:r>
      <w:r>
        <w:rPr>
          <w:rFonts w:hint="default" w:ascii="ＭＳ 明朝" w:hAnsi="ＭＳ 明朝" w:eastAsia="ＭＳ 明朝"/>
          <w:b w:val="0"/>
          <w:i w:val="0"/>
          <w:strike w:val="0"/>
          <w:color w:val="000000"/>
          <w:sz w:val="24"/>
          <w:u w:val="none" w:color="auto"/>
        </w:rPr>
        <w:t>10</w:t>
      </w:r>
      <w:r>
        <w:rPr>
          <w:rFonts w:hint="default" w:ascii="ＭＳ 明朝" w:hAnsi="ＭＳ 明朝" w:eastAsia="ＭＳ 明朝"/>
          <w:b w:val="0"/>
          <w:i w:val="0"/>
          <w:strike w:val="0"/>
          <w:color w:val="000000"/>
          <w:sz w:val="24"/>
          <w:u w:val="none" w:color="auto"/>
        </w:rPr>
        <w:t>号）により、また適当でないと認めたときは、トップアスリート支援事業変更不承認通知書（別記様式第</w:t>
      </w:r>
      <w:r>
        <w:rPr>
          <w:rFonts w:hint="default" w:ascii="ＭＳ 明朝" w:hAnsi="ＭＳ 明朝" w:eastAsia="ＭＳ 明朝"/>
          <w:b w:val="0"/>
          <w:i w:val="0"/>
          <w:strike w:val="0"/>
          <w:color w:val="000000"/>
          <w:sz w:val="24"/>
          <w:u w:val="none" w:color="auto"/>
        </w:rPr>
        <w:t>11</w:t>
      </w:r>
      <w:r>
        <w:rPr>
          <w:rFonts w:hint="default" w:ascii="ＭＳ 明朝" w:hAnsi="ＭＳ 明朝" w:eastAsia="ＭＳ 明朝"/>
          <w:b w:val="0"/>
          <w:i w:val="0"/>
          <w:strike w:val="0"/>
          <w:color w:val="000000"/>
          <w:sz w:val="24"/>
          <w:u w:val="none" w:color="auto"/>
        </w:rPr>
        <w:t>号）により、それぞれ通知するものとする。</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２　町長は、前項の規定により認定事業の内容変更の承認において必要があると認めるときは、条件を付すことができる。</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（実績報告）</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14</w:t>
      </w:r>
      <w:r>
        <w:rPr>
          <w:rFonts w:hint="default" w:ascii="ＭＳ 明朝" w:hAnsi="ＭＳ 明朝" w:eastAsia="ＭＳ 明朝"/>
          <w:b w:val="0"/>
          <w:i w:val="0"/>
          <w:strike w:val="0"/>
          <w:color w:val="000000"/>
          <w:sz w:val="24"/>
          <w:u w:val="none" w:color="auto"/>
        </w:rPr>
        <w:t>条　認定団体は、年度末の日から</w:t>
      </w:r>
      <w:r>
        <w:rPr>
          <w:rFonts w:hint="default" w:ascii="ＭＳ 明朝" w:hAnsi="ＭＳ 明朝" w:eastAsia="ＭＳ 明朝"/>
          <w:b w:val="0"/>
          <w:i w:val="0"/>
          <w:strike w:val="0"/>
          <w:color w:val="000000"/>
          <w:sz w:val="24"/>
          <w:u w:val="none" w:color="auto"/>
        </w:rPr>
        <w:t>15</w:t>
      </w:r>
      <w:r>
        <w:rPr>
          <w:rFonts w:hint="default" w:ascii="ＭＳ 明朝" w:hAnsi="ＭＳ 明朝" w:eastAsia="ＭＳ 明朝"/>
          <w:b w:val="0"/>
          <w:i w:val="0"/>
          <w:strike w:val="0"/>
          <w:color w:val="000000"/>
          <w:sz w:val="24"/>
          <w:u w:val="none" w:color="auto"/>
        </w:rPr>
        <w:t>日以内に認定事業の成果を記載したトップアスリート支援事業実績報告書（別記様式第</w:t>
      </w:r>
      <w:r>
        <w:rPr>
          <w:rFonts w:hint="default" w:ascii="ＭＳ 明朝" w:hAnsi="ＭＳ 明朝" w:eastAsia="ＭＳ 明朝"/>
          <w:b w:val="0"/>
          <w:i w:val="0"/>
          <w:strike w:val="0"/>
          <w:color w:val="000000"/>
          <w:sz w:val="24"/>
          <w:u w:val="none" w:color="auto"/>
        </w:rPr>
        <w:t>12</w:t>
      </w:r>
      <w:r>
        <w:rPr>
          <w:rFonts w:hint="default" w:ascii="ＭＳ 明朝" w:hAnsi="ＭＳ 明朝" w:eastAsia="ＭＳ 明朝"/>
          <w:b w:val="0"/>
          <w:i w:val="0"/>
          <w:strike w:val="0"/>
          <w:color w:val="000000"/>
          <w:sz w:val="24"/>
          <w:u w:val="none" w:color="auto"/>
        </w:rPr>
        <w:t>号）に次の各号に掲げる書類を添えて町長に提出しなければならない。</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(1)</w:t>
      </w:r>
      <w:r>
        <w:rPr>
          <w:rFonts w:hint="default" w:ascii="ＭＳ 明朝" w:hAnsi="ＭＳ 明朝" w:eastAsia="ＭＳ 明朝"/>
          <w:b w:val="0"/>
          <w:i w:val="0"/>
          <w:strike w:val="0"/>
          <w:color w:val="000000"/>
          <w:sz w:val="24"/>
          <w:u w:val="none" w:color="auto"/>
        </w:rPr>
        <w:t>　事業実施内容報告書（別紙５）</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(2)</w:t>
      </w:r>
      <w:r>
        <w:rPr>
          <w:rFonts w:hint="default" w:ascii="ＭＳ 明朝" w:hAnsi="ＭＳ 明朝" w:eastAsia="ＭＳ 明朝"/>
          <w:b w:val="0"/>
          <w:i w:val="0"/>
          <w:strike w:val="0"/>
          <w:color w:val="000000"/>
          <w:sz w:val="24"/>
          <w:u w:val="none" w:color="auto"/>
        </w:rPr>
        <w:t>　収支決算書（当該年度の団体の決算書）</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(3)</w:t>
      </w:r>
      <w:r>
        <w:rPr>
          <w:rFonts w:hint="default" w:ascii="ＭＳ 明朝" w:hAnsi="ＭＳ 明朝" w:eastAsia="ＭＳ 明朝"/>
          <w:b w:val="0"/>
          <w:i w:val="0"/>
          <w:strike w:val="0"/>
          <w:color w:val="000000"/>
          <w:sz w:val="24"/>
          <w:u w:val="none" w:color="auto"/>
        </w:rPr>
        <w:t>　認定事業の経過並びに成果を証する書類及び写真等</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(4)</w:t>
      </w:r>
      <w:r>
        <w:rPr>
          <w:rFonts w:hint="default" w:ascii="ＭＳ 明朝" w:hAnsi="ＭＳ 明朝" w:eastAsia="ＭＳ 明朝"/>
          <w:b w:val="0"/>
          <w:i w:val="0"/>
          <w:strike w:val="0"/>
          <w:color w:val="000000"/>
          <w:sz w:val="24"/>
          <w:u w:val="none" w:color="auto"/>
        </w:rPr>
        <w:t>　その他町長が必要と認める書類</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２　交付金を団体の構成員に係る報酬・給与及び賃金に充てた場合は、勤務実績が分かる資料及び報酬並びに給与及び賃金の明細をトップアスリート支援事業実績報告書（別記様式第</w:t>
      </w:r>
      <w:r>
        <w:rPr>
          <w:rFonts w:hint="default" w:ascii="ＭＳ 明朝" w:hAnsi="ＭＳ 明朝" w:eastAsia="ＭＳ 明朝"/>
          <w:b w:val="0"/>
          <w:i w:val="0"/>
          <w:strike w:val="0"/>
          <w:color w:val="000000"/>
          <w:sz w:val="24"/>
          <w:u w:val="none" w:color="auto"/>
        </w:rPr>
        <w:t>12</w:t>
      </w:r>
      <w:r>
        <w:rPr>
          <w:rFonts w:hint="default" w:ascii="ＭＳ 明朝" w:hAnsi="ＭＳ 明朝" w:eastAsia="ＭＳ 明朝"/>
          <w:b w:val="0"/>
          <w:i w:val="0"/>
          <w:strike w:val="0"/>
          <w:color w:val="000000"/>
          <w:sz w:val="24"/>
          <w:u w:val="none" w:color="auto"/>
        </w:rPr>
        <w:t>号）に添えて町長に提出しなければならない。</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（交付金の額の確定）</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15</w:t>
      </w:r>
      <w:r>
        <w:rPr>
          <w:rFonts w:hint="default" w:ascii="ＭＳ 明朝" w:hAnsi="ＭＳ 明朝" w:eastAsia="ＭＳ 明朝"/>
          <w:b w:val="0"/>
          <w:i w:val="0"/>
          <w:strike w:val="0"/>
          <w:color w:val="000000"/>
          <w:sz w:val="24"/>
          <w:u w:val="none" w:color="auto"/>
        </w:rPr>
        <w:t>条　町長は、前条の規定により実績報告書の提出があったときは、その内容を確認の上、交付金の額を確定し、トップアスリート支援事業交付金交付確定通知書（別記様式第</w:t>
      </w:r>
      <w:r>
        <w:rPr>
          <w:rFonts w:hint="default" w:ascii="ＭＳ 明朝" w:hAnsi="ＭＳ 明朝" w:eastAsia="ＭＳ 明朝"/>
          <w:b w:val="0"/>
          <w:i w:val="0"/>
          <w:strike w:val="0"/>
          <w:color w:val="000000"/>
          <w:sz w:val="24"/>
          <w:u w:val="none" w:color="auto"/>
        </w:rPr>
        <w:t>13</w:t>
      </w:r>
      <w:r>
        <w:rPr>
          <w:rFonts w:hint="default" w:ascii="ＭＳ 明朝" w:hAnsi="ＭＳ 明朝" w:eastAsia="ＭＳ 明朝"/>
          <w:b w:val="0"/>
          <w:i w:val="0"/>
          <w:strike w:val="0"/>
          <w:color w:val="000000"/>
          <w:sz w:val="24"/>
          <w:u w:val="none" w:color="auto"/>
        </w:rPr>
        <w:t>号）により通知するものとする。</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（財産の管理及び処分）</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16</w:t>
      </w:r>
      <w:r>
        <w:rPr>
          <w:rFonts w:hint="default" w:ascii="ＭＳ 明朝" w:hAnsi="ＭＳ 明朝" w:eastAsia="ＭＳ 明朝"/>
          <w:b w:val="0"/>
          <w:i w:val="0"/>
          <w:strike w:val="0"/>
          <w:color w:val="000000"/>
          <w:sz w:val="24"/>
          <w:u w:val="none" w:color="auto"/>
        </w:rPr>
        <w:t>条　認定団体は、交付金により取得し、又は効用の増加した機械、器具、備品その他の財産（以下「取得財産等」という。）については、認定事業完了後においても、善良な管理者の注意をもって管理し、交付金の交付の目的に従って、その効率的運用を図らなければならない。</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（帳簿等の保存期間）</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17</w:t>
      </w:r>
      <w:r>
        <w:rPr>
          <w:rFonts w:hint="default" w:ascii="ＭＳ 明朝" w:hAnsi="ＭＳ 明朝" w:eastAsia="ＭＳ 明朝"/>
          <w:b w:val="0"/>
          <w:i w:val="0"/>
          <w:strike w:val="0"/>
          <w:color w:val="000000"/>
          <w:sz w:val="24"/>
          <w:u w:val="none" w:color="auto"/>
        </w:rPr>
        <w:t>条　認定団体は、交付金に関する経費の収支を明らかにした帳簿、書類等を備え、事業完了の日から起算して５年を経過した日の属する会計年度の末日まで保存しておかなければならない。</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（認定の取り消し）</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18</w:t>
      </w:r>
      <w:r>
        <w:rPr>
          <w:rFonts w:hint="default" w:ascii="ＭＳ 明朝" w:hAnsi="ＭＳ 明朝" w:eastAsia="ＭＳ 明朝"/>
          <w:b w:val="0"/>
          <w:i w:val="0"/>
          <w:strike w:val="0"/>
          <w:color w:val="000000"/>
          <w:sz w:val="24"/>
          <w:u w:val="none" w:color="auto"/>
        </w:rPr>
        <w:t>条　町長は、認定団体が次の各号のいずれかに該当するときは、その認定を取り消すことができる。</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(1)</w:t>
      </w:r>
      <w:r>
        <w:rPr>
          <w:rFonts w:hint="default" w:ascii="ＭＳ 明朝" w:hAnsi="ＭＳ 明朝" w:eastAsia="ＭＳ 明朝"/>
          <w:b w:val="0"/>
          <w:i w:val="0"/>
          <w:strike w:val="0"/>
          <w:color w:val="000000"/>
          <w:sz w:val="24"/>
          <w:u w:val="none" w:color="auto"/>
        </w:rPr>
        <w:t>　法令、本要綱又は町長の指示に違反したとき。</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(2)</w:t>
      </w:r>
      <w:r>
        <w:rPr>
          <w:rFonts w:hint="default" w:ascii="ＭＳ 明朝" w:hAnsi="ＭＳ 明朝" w:eastAsia="ＭＳ 明朝"/>
          <w:b w:val="0"/>
          <w:i w:val="0"/>
          <w:strike w:val="0"/>
          <w:color w:val="000000"/>
          <w:sz w:val="24"/>
          <w:u w:val="none" w:color="auto"/>
        </w:rPr>
        <w:t>　交付金を認定事業以外の用途に使用したとき。</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(3)</w:t>
      </w:r>
      <w:r>
        <w:rPr>
          <w:rFonts w:hint="default" w:ascii="ＭＳ 明朝" w:hAnsi="ＭＳ 明朝" w:eastAsia="ＭＳ 明朝"/>
          <w:b w:val="0"/>
          <w:i w:val="0"/>
          <w:strike w:val="0"/>
          <w:color w:val="000000"/>
          <w:sz w:val="24"/>
          <w:u w:val="none" w:color="auto"/>
        </w:rPr>
        <w:t>　認定事業の実施に関し不正、怠慢、その他不適当な行為をしたとき。</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(4)</w:t>
      </w:r>
      <w:r>
        <w:rPr>
          <w:rFonts w:hint="default" w:ascii="ＭＳ 明朝" w:hAnsi="ＭＳ 明朝" w:eastAsia="ＭＳ 明朝"/>
          <w:b w:val="0"/>
          <w:i w:val="0"/>
          <w:strike w:val="0"/>
          <w:color w:val="000000"/>
          <w:sz w:val="24"/>
          <w:u w:val="none" w:color="auto"/>
        </w:rPr>
        <w:t>　その他町長が不適当と認めるとき。</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２　町長は、前項の規定により認定を取り消した場合、交付金の交付を停止し、又は既に交付した交付金の全部若しくは一部を返還させることができる。</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３　町長は、第１項の規定に基づき事業の認定取り消しを行った場合は、すみやかに当該事業に対するふるさと寄附金の受付を停止する。</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４　町長は、認定取り消しを行った時点で認定取り消しを受けた団体に交付されていないふるさと寄附金については、ふるさと基金に積立を行い、町が行う事業の財源とする。</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（報告及び調査）</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19</w:t>
      </w:r>
      <w:r>
        <w:rPr>
          <w:rFonts w:hint="default" w:ascii="ＭＳ 明朝" w:hAnsi="ＭＳ 明朝" w:eastAsia="ＭＳ 明朝"/>
          <w:b w:val="0"/>
          <w:i w:val="0"/>
          <w:strike w:val="0"/>
          <w:color w:val="000000"/>
          <w:sz w:val="24"/>
          <w:u w:val="none" w:color="auto"/>
        </w:rPr>
        <w:t>条　町長は、必要と認めるときは、事業実施期間の途中においても、次の各号に掲げる事項について報告を求め、又は調査することができる。</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(1)</w:t>
      </w:r>
      <w:r>
        <w:rPr>
          <w:rFonts w:hint="default" w:ascii="ＭＳ 明朝" w:hAnsi="ＭＳ 明朝" w:eastAsia="ＭＳ 明朝"/>
          <w:b w:val="0"/>
          <w:i w:val="0"/>
          <w:strike w:val="0"/>
          <w:color w:val="000000"/>
          <w:sz w:val="24"/>
          <w:u w:val="none" w:color="auto"/>
        </w:rPr>
        <w:t>　認定事業の状況及び実績</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(2)</w:t>
      </w:r>
      <w:r>
        <w:rPr>
          <w:rFonts w:hint="default" w:ascii="ＭＳ 明朝" w:hAnsi="ＭＳ 明朝" w:eastAsia="ＭＳ 明朝"/>
          <w:b w:val="0"/>
          <w:i w:val="0"/>
          <w:strike w:val="0"/>
          <w:color w:val="000000"/>
          <w:sz w:val="24"/>
          <w:u w:val="none" w:color="auto"/>
        </w:rPr>
        <w:t>　認定事業の収支及び決算</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(3)</w:t>
      </w:r>
      <w:r>
        <w:rPr>
          <w:rFonts w:hint="default" w:ascii="ＭＳ 明朝" w:hAnsi="ＭＳ 明朝" w:eastAsia="ＭＳ 明朝"/>
          <w:b w:val="0"/>
          <w:i w:val="0"/>
          <w:strike w:val="0"/>
          <w:color w:val="000000"/>
          <w:sz w:val="24"/>
          <w:u w:val="none" w:color="auto"/>
        </w:rPr>
        <w:t>　認定事業の実施状況</w:t>
      </w:r>
    </w:p>
    <w:p>
      <w:pPr>
        <w:pStyle w:val="0"/>
        <w:spacing w:before="0" w:beforeLines="0" w:beforeAutospacing="0" w:after="0" w:afterLines="0" w:afterAutospacing="0" w:line="360" w:lineRule="atLeast"/>
        <w:ind w:left="48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(4)</w:t>
      </w:r>
      <w:r>
        <w:rPr>
          <w:rFonts w:hint="default" w:ascii="ＭＳ 明朝" w:hAnsi="ＭＳ 明朝" w:eastAsia="ＭＳ 明朝"/>
          <w:b w:val="0"/>
          <w:i w:val="0"/>
          <w:strike w:val="0"/>
          <w:color w:val="000000"/>
          <w:sz w:val="24"/>
          <w:u w:val="none" w:color="auto"/>
        </w:rPr>
        <w:t>　その他町長が必要と認める事項</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（成果の公表）</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20</w:t>
      </w:r>
      <w:r>
        <w:rPr>
          <w:rFonts w:hint="default" w:ascii="ＭＳ 明朝" w:hAnsi="ＭＳ 明朝" w:eastAsia="ＭＳ 明朝"/>
          <w:b w:val="0"/>
          <w:i w:val="0"/>
          <w:strike w:val="0"/>
          <w:color w:val="000000"/>
          <w:sz w:val="24"/>
          <w:u w:val="none" w:color="auto"/>
        </w:rPr>
        <w:t>条　町長は、必要があると認めるときは、認定事業の成果について認定団体に発表させることができる。</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２　認定団体は、前項の規定により成果の発表を求められたときは、これに応じなければならない。</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３　町長は、認定事業の成果を町のホームページ等で公開しなければならない。</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（その他）</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w:t>
      </w:r>
      <w:r>
        <w:rPr>
          <w:rFonts w:hint="default" w:ascii="ＭＳ 明朝" w:hAnsi="ＭＳ 明朝" w:eastAsia="ＭＳ 明朝"/>
          <w:b w:val="0"/>
          <w:i w:val="0"/>
          <w:strike w:val="0"/>
          <w:color w:val="000000"/>
          <w:sz w:val="24"/>
          <w:u w:val="none" w:color="auto"/>
        </w:rPr>
        <w:t>21</w:t>
      </w:r>
      <w:r>
        <w:rPr>
          <w:rFonts w:hint="default" w:ascii="ＭＳ 明朝" w:hAnsi="ＭＳ 明朝" w:eastAsia="ＭＳ 明朝"/>
          <w:b w:val="0"/>
          <w:i w:val="0"/>
          <w:strike w:val="0"/>
          <w:color w:val="000000"/>
          <w:sz w:val="24"/>
          <w:u w:val="none" w:color="auto"/>
        </w:rPr>
        <w:t>条　この要綱に定めるもののほか、必要な事項は町長が別に定める。</w:t>
      </w:r>
    </w:p>
    <w:p>
      <w:pPr>
        <w:pStyle w:val="0"/>
        <w:spacing w:before="0" w:beforeLines="0" w:beforeAutospacing="0" w:after="0" w:afterLines="0" w:afterAutospacing="0" w:line="360" w:lineRule="atLeast"/>
        <w:ind w:left="72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附　則</w:t>
      </w:r>
    </w:p>
    <w:p>
      <w:pPr>
        <w:pStyle w:val="0"/>
        <w:spacing w:before="0" w:beforeLines="0" w:beforeAutospacing="0" w:after="0" w:afterLines="0" w:afterAutospacing="0" w:line="360" w:lineRule="atLeast"/>
        <w:ind w:left="0" w:right="0" w:firstLine="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この告示は、平成</w:t>
      </w:r>
      <w:r>
        <w:rPr>
          <w:rFonts w:hint="default" w:ascii="ＭＳ 明朝" w:hAnsi="ＭＳ 明朝" w:eastAsia="ＭＳ 明朝"/>
          <w:b w:val="0"/>
          <w:i w:val="0"/>
          <w:strike w:val="0"/>
          <w:color w:val="000000"/>
          <w:sz w:val="24"/>
          <w:u w:val="none" w:color="auto"/>
        </w:rPr>
        <w:t>31</w:t>
      </w:r>
      <w:r>
        <w:rPr>
          <w:rFonts w:hint="default" w:ascii="ＭＳ 明朝" w:hAnsi="ＭＳ 明朝" w:eastAsia="ＭＳ 明朝"/>
          <w:b w:val="0"/>
          <w:i w:val="0"/>
          <w:strike w:val="0"/>
          <w:color w:val="000000"/>
          <w:sz w:val="24"/>
          <w:u w:val="none" w:color="auto"/>
        </w:rPr>
        <w:t>年４月１日から施行する。</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別表（第４条関係）</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交付対象経費</w:t>
      </w:r>
    </w:p>
    <w:tbl>
      <w:tblPr>
        <w:tblStyle w:val="11"/>
        <w:tblInd w:w="5" w:type="dxa"/>
        <w:tblLayout w:type="fixed"/>
        <w:tblCellMar>
          <w:top w:w="0" w:type="dxa"/>
          <w:left w:w="0" w:type="dxa"/>
          <w:bottom w:w="0" w:type="dxa"/>
          <w:right w:w="0" w:type="dxa"/>
        </w:tblCellMar>
        <w:tblLook w:firstRow="1" w:lastRow="0" w:firstColumn="1" w:lastColumn="0" w:noHBand="0" w:noVBand="1" w:val="04A0"/>
      </w:tblPr>
      <w:tblGrid>
        <w:gridCol w:w="1360"/>
        <w:gridCol w:w="1360"/>
        <w:gridCol w:w="3084"/>
        <w:gridCol w:w="3174"/>
      </w:tblGrid>
      <w:tr>
        <w:trPr/>
        <w:tc>
          <w:tcPr>
            <w:tcW w:w="1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center"/>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経費区分</w:t>
            </w:r>
          </w:p>
        </w:tc>
        <w:tc>
          <w:tcPr>
            <w:tcW w:w="13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center"/>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細区分</w:t>
            </w:r>
          </w:p>
        </w:tc>
        <w:tc>
          <w:tcPr>
            <w:tcW w:w="308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center"/>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支出内容の例示</w:t>
            </w:r>
          </w:p>
        </w:tc>
        <w:tc>
          <w:tcPr>
            <w:tcW w:w="317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center"/>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交付金活用の可否</w:t>
            </w:r>
          </w:p>
        </w:tc>
      </w:tr>
      <w:tr>
        <w:trPr/>
        <w:tc>
          <w:tcPr>
            <w:tcW w:w="13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報酬等</w:t>
            </w: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指導者の報酬・給与等</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※トップアスリートの指導・育成を行う者に限り交付金額の</w:t>
            </w:r>
            <w:r>
              <w:rPr>
                <w:rFonts w:hint="eastAsia" w:ascii="ＭＳ 明朝" w:hAnsi="ＭＳ 明朝" w:eastAsia="ＭＳ 明朝"/>
                <w:b w:val="0"/>
                <w:i w:val="0"/>
                <w:strike w:val="0"/>
                <w:color w:val="000000"/>
                <w:sz w:val="24"/>
                <w:u w:val="none" w:color="auto"/>
              </w:rPr>
              <w:t>3</w:t>
            </w:r>
            <w:r>
              <w:rPr>
                <w:rFonts w:hint="eastAsia" w:ascii="ＭＳ 明朝" w:hAnsi="ＭＳ 明朝" w:eastAsia="ＭＳ 明朝"/>
                <w:b w:val="0"/>
                <w:i w:val="0"/>
                <w:strike w:val="0"/>
                <w:color w:val="000000"/>
                <w:sz w:val="24"/>
                <w:u w:val="none" w:color="auto"/>
              </w:rPr>
              <w:t>割以内で報酬等を支払うことができる。</w:t>
            </w:r>
          </w:p>
        </w:tc>
      </w:tr>
      <w:tr>
        <w:trPr/>
        <w:tc>
          <w:tcPr>
            <w:tcW w:w="13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賃金</w:t>
            </w: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アルバイト代</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※団体等の構成員に係る人件費は否</w:t>
            </w:r>
          </w:p>
        </w:tc>
      </w:tr>
      <w:tr>
        <w:trPr/>
        <w:tc>
          <w:tcPr>
            <w:tcW w:w="13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報償費</w:t>
            </w: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講習会等での専門家等に対する謝金等</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tc>
      </w:tr>
      <w:tr>
        <w:trPr/>
        <w:tc>
          <w:tcPr>
            <w:tcW w:w="13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旅費</w:t>
            </w: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大会出場のための遠征費（交通費・宿泊費・食費）や講習会等の専門家等に対し支払われるもののほか、事業の実施に必須となる団体等の構成員の旅費</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※事業の実施に必要な旅費が対象。</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団体等に旅費規定がある場合は規定により、ない場合は実費</w:t>
            </w:r>
          </w:p>
        </w:tc>
      </w:tr>
      <w:tr>
        <w:trPr/>
        <w:tc>
          <w:tcPr>
            <w:tcW w:w="13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交際費</w:t>
            </w: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贈答経費や催事、懇談会等の経費</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香典、花輪、見舞い、祝儀、土産等、行事、式典等に出席する場合の儀礼上必要とされる会費や懇談会等の経費</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※事業の実施に必要な行事、式典等に団体の構成員として出席する場合の儀礼上必要とされる会費や懇談会等の経費は可</w:t>
            </w:r>
          </w:p>
          <w:p>
            <w:pPr>
              <w:pStyle w:val="0"/>
              <w:spacing w:before="0" w:beforeLines="0" w:beforeAutospacing="0" w:after="0" w:afterLines="0" w:afterAutospacing="0" w:line="360" w:lineRule="atLeast"/>
              <w:ind w:left="24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個人的な立場での儀礼上必要な経費は否</w:t>
            </w:r>
          </w:p>
        </w:tc>
      </w:tr>
      <w:tr>
        <w:trPr/>
        <w:tc>
          <w:tcPr>
            <w:tcW w:w="1360"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需用費</w:t>
            </w: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消耗品費</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事務用品、事業実施の際の小看板等</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短期間の使用又は</w:t>
            </w:r>
            <w:r>
              <w:rPr>
                <w:rFonts w:hint="default" w:ascii="ＭＳ 明朝" w:hAnsi="ＭＳ 明朝" w:eastAsia="ＭＳ 明朝"/>
                <w:b w:val="0"/>
                <w:i w:val="0"/>
                <w:strike w:val="0"/>
                <w:color w:val="000000"/>
                <w:sz w:val="24"/>
                <w:u w:val="none" w:color="auto"/>
              </w:rPr>
              <w:t>1</w:t>
            </w:r>
            <w:r>
              <w:rPr>
                <w:rFonts w:hint="default" w:ascii="ＭＳ 明朝" w:hAnsi="ＭＳ 明朝" w:eastAsia="ＭＳ 明朝"/>
                <w:b w:val="0"/>
                <w:i w:val="0"/>
                <w:strike w:val="0"/>
                <w:color w:val="000000"/>
                <w:sz w:val="24"/>
                <w:u w:val="none" w:color="auto"/>
              </w:rPr>
              <w:t>回の使用で、その性質又は形状を失い、使用に耐えなくなるものの取得経費（取得価格は</w:t>
            </w:r>
            <w:r>
              <w:rPr>
                <w:rFonts w:hint="default" w:ascii="ＭＳ 明朝" w:hAnsi="ＭＳ 明朝" w:eastAsia="ＭＳ 明朝"/>
                <w:b w:val="0"/>
                <w:i w:val="0"/>
                <w:strike w:val="0"/>
                <w:color w:val="000000"/>
                <w:sz w:val="24"/>
                <w:u w:val="none" w:color="auto"/>
              </w:rPr>
              <w:t>10</w:t>
            </w:r>
            <w:r>
              <w:rPr>
                <w:rFonts w:hint="default" w:ascii="ＭＳ 明朝" w:hAnsi="ＭＳ 明朝" w:eastAsia="ＭＳ 明朝"/>
                <w:b w:val="0"/>
                <w:i w:val="0"/>
                <w:strike w:val="0"/>
                <w:color w:val="000000"/>
                <w:sz w:val="24"/>
                <w:u w:val="none" w:color="auto"/>
              </w:rPr>
              <w:t>万円未満）</w:t>
            </w:r>
          </w:p>
        </w:tc>
      </w:tr>
      <w:tr>
        <w:trPr/>
        <w:tc>
          <w:tcPr>
            <w:tcW w:w="1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left"/>
              <w:rPr>
                <w:rFonts w:hint="default"/>
              </w:rPr>
            </w:pP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燃料費</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木炭、灯油、プロパンガス等、事業の実施に必要な燃料等の購入等に要する経費</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tc>
      </w:tr>
      <w:tr>
        <w:trPr/>
        <w:tc>
          <w:tcPr>
            <w:tcW w:w="1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left"/>
              <w:rPr>
                <w:rFonts w:hint="default"/>
              </w:rPr>
            </w:pP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食糧費</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弁当、お茶、コーヒー、酒類等</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※事業を実施するために必要な講師等への弁当代等は可。団体構成員に係る食事等の経費は否</w:t>
            </w:r>
          </w:p>
        </w:tc>
      </w:tr>
      <w:tr>
        <w:trPr/>
        <w:tc>
          <w:tcPr>
            <w:tcW w:w="1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left"/>
              <w:rPr>
                <w:rFonts w:hint="default"/>
              </w:rPr>
            </w:pP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印刷製本費</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事業の広報ポスター、参加者募集チラシの印刷代、コピー料等</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tc>
      </w:tr>
      <w:tr>
        <w:trPr/>
        <w:tc>
          <w:tcPr>
            <w:tcW w:w="1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left"/>
              <w:rPr>
                <w:rFonts w:hint="default"/>
              </w:rPr>
            </w:pP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光熱水費</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事業の実施に伴い必要となる電気料金、ガス料金、上下水道使用料等</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※団体の活動拠点に係る経費は可</w:t>
            </w:r>
          </w:p>
        </w:tc>
      </w:tr>
      <w:tr>
        <w:trPr/>
        <w:tc>
          <w:tcPr>
            <w:tcW w:w="1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left"/>
              <w:rPr>
                <w:rFonts w:hint="default"/>
              </w:rPr>
            </w:pP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修繕料</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事業の実施に必要な備品等の修繕、補修又は施設等の小規模な修繕等</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tc>
      </w:tr>
      <w:tr>
        <w:trPr/>
        <w:tc>
          <w:tcPr>
            <w:tcW w:w="1360"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役務費</w:t>
            </w: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通信運搬費</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郵便料（切手、ハガキ等）、運搬料（事業の実施に伴う物品の荷造費、運賃等）</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tc>
      </w:tr>
      <w:tr>
        <w:trPr/>
        <w:tc>
          <w:tcPr>
            <w:tcW w:w="1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left"/>
              <w:rPr>
                <w:rFonts w:hint="default"/>
              </w:rPr>
            </w:pP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広告料</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事業の宣伝等の幟、立看板等による広告費</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tc>
      </w:tr>
      <w:tr>
        <w:trPr/>
        <w:tc>
          <w:tcPr>
            <w:tcW w:w="1360"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役務費</w:t>
            </w: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手数料</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送金手数料等</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tc>
      </w:tr>
      <w:tr>
        <w:trPr/>
        <w:tc>
          <w:tcPr>
            <w:tcW w:w="1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left"/>
              <w:rPr>
                <w:rFonts w:hint="default"/>
              </w:rPr>
            </w:pP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筆耕翻訳料</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表彰状等の筆耕料等</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tc>
      </w:tr>
      <w:tr>
        <w:trPr/>
        <w:tc>
          <w:tcPr>
            <w:tcW w:w="13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委託料</w:t>
            </w: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事業の実施に際して必要な専門家への業務委託等</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※事業の主要部分を他に委託するものは否</w:t>
            </w:r>
          </w:p>
        </w:tc>
      </w:tr>
      <w:tr>
        <w:trPr/>
        <w:tc>
          <w:tcPr>
            <w:tcW w:w="13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使用料及び賃借料</w:t>
            </w: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土地、家屋、会場、会議室等の借上料、バス、タクシーの借上料、高速道路通行料等</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※事業の実施に必要なものに限る。</w:t>
            </w:r>
          </w:p>
        </w:tc>
      </w:tr>
      <w:tr>
        <w:trPr/>
        <w:tc>
          <w:tcPr>
            <w:tcW w:w="13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工事請負費</w:t>
            </w: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事業の実施に必要な施設等の簡易な工事等（リノベーション、内装工事、建具等）</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※完成した建築物等は、事業終了後も適正な管理を行うこととし、管理が見込めない場合は否</w:t>
            </w:r>
          </w:p>
        </w:tc>
      </w:tr>
      <w:tr>
        <w:trPr/>
        <w:tc>
          <w:tcPr>
            <w:tcW w:w="13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原材料費</w:t>
            </w: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事業の実施に際して必要となる原材料の購入費、リノベーションに使うセメント、砂利、木材等</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tc>
      </w:tr>
      <w:tr>
        <w:trPr/>
        <w:tc>
          <w:tcPr>
            <w:tcW w:w="13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備品購入費</w:t>
            </w: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性質、形状を変えることなく長期にわたって継続使用に耐える物で取得価額が</w:t>
            </w:r>
            <w:r>
              <w:rPr>
                <w:rFonts w:hint="default" w:ascii="ＭＳ 明朝" w:hAnsi="ＭＳ 明朝" w:eastAsia="ＭＳ 明朝"/>
                <w:b w:val="0"/>
                <w:i w:val="0"/>
                <w:strike w:val="0"/>
                <w:color w:val="000000"/>
                <w:sz w:val="24"/>
                <w:u w:val="none" w:color="auto"/>
              </w:rPr>
              <w:t>10</w:t>
            </w:r>
            <w:r>
              <w:rPr>
                <w:rFonts w:hint="default" w:ascii="ＭＳ 明朝" w:hAnsi="ＭＳ 明朝" w:eastAsia="ＭＳ 明朝"/>
                <w:b w:val="0"/>
                <w:i w:val="0"/>
                <w:strike w:val="0"/>
                <w:color w:val="000000"/>
                <w:sz w:val="24"/>
                <w:u w:val="none" w:color="auto"/>
              </w:rPr>
              <w:t>万円以上の物品</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p>
            <w:pPr>
              <w:pStyle w:val="0"/>
              <w:spacing w:before="0" w:beforeLines="0" w:beforeAutospacing="0" w:after="0" w:afterLines="0" w:afterAutospacing="0" w:line="360" w:lineRule="atLeast"/>
              <w:ind w:left="240" w:right="0" w:hanging="24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※購入した備品等は、事業終了後も適正な管理を行うこととし、管理が見込めない場合は否。汎用性の高い物品（パソコン、テレビ等）について、事業の実施に際して特別な理由のない場合は否</w:t>
            </w:r>
          </w:p>
        </w:tc>
      </w:tr>
      <w:tr>
        <w:trPr/>
        <w:tc>
          <w:tcPr>
            <w:tcW w:w="13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物品購入費</w:t>
            </w: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ふるさと寄附の支援者に対する返礼品の購入費等</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tc>
      </w:tr>
      <w:tr>
        <w:trPr/>
        <w:tc>
          <w:tcPr>
            <w:tcW w:w="1360"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負担金、補助及び交付金</w:t>
            </w: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負担金</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事業実施に必要な講習会の受講料等</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可</w:t>
            </w:r>
          </w:p>
        </w:tc>
      </w:tr>
      <w:tr>
        <w:trPr/>
        <w:tc>
          <w:tcPr>
            <w:tcW w:w="1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left"/>
              <w:rPr>
                <w:rFonts w:hint="default"/>
              </w:rPr>
            </w:pPr>
          </w:p>
        </w:tc>
        <w:tc>
          <w:tcPr>
            <w:tcW w:w="136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補助金等</w:t>
            </w:r>
          </w:p>
        </w:tc>
        <w:tc>
          <w:tcPr>
            <w:tcW w:w="30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他団体等に対する補助金等</w:t>
            </w:r>
          </w:p>
        </w:tc>
        <w:tc>
          <w:tcPr>
            <w:tcW w:w="317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否</w:t>
            </w:r>
          </w:p>
        </w:tc>
      </w:tr>
      <w:tr>
        <w:trPr/>
        <w:tc>
          <w:tcPr>
            <w:tcW w:w="1360" w:type="dxa"/>
            <w:tcBorders>
              <w:top w:val="nil"/>
              <w:left w:val="single" w:color="000000" w:sz="4" w:space="0"/>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貸付金</w:t>
            </w:r>
          </w:p>
        </w:tc>
        <w:tc>
          <w:tcPr>
            <w:tcW w:w="1360"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w:t>
            </w:r>
          </w:p>
        </w:tc>
        <w:tc>
          <w:tcPr>
            <w:tcW w:w="3084"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他団体等に対する貸付金</w:t>
            </w:r>
          </w:p>
        </w:tc>
        <w:tc>
          <w:tcPr>
            <w:tcW w:w="3174"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60" w:lineRule="atLeast"/>
              <w:ind w:left="0" w:right="0" w:firstLine="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否</w:t>
            </w:r>
          </w:p>
        </w:tc>
      </w:tr>
    </w:tbl>
    <w:p>
      <w:pPr>
        <w:rPr>
          <w:rFonts w:hint="default"/>
        </w:rPr>
        <w:sectPr>
          <w:footerReference r:id="rId5"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745480" cy="834517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7"/>
                    <a:stretch>
                      <a:fillRect/>
                    </a:stretch>
                  </pic:blipFill>
                  <pic:spPr>
                    <a:xfrm>
                      <a:off x="0" y="0"/>
                      <a:ext cx="5745480" cy="8345170"/>
                    </a:xfrm>
                    <a:prstGeom prst="rect">
                      <a:avLst/>
                    </a:prstGeom>
                    <a:noFill/>
                    <a:ln>
                      <a:miter/>
                    </a:ln>
                  </pic:spPr>
                </pic:pic>
              </a:graphicData>
            </a:graphic>
          </wp:inline>
        </w:drawing>
      </w:r>
    </w:p>
    <w:p>
      <w:pPr>
        <w:rPr>
          <w:rFonts w:hint="default"/>
        </w:rPr>
        <w:sectPr>
          <w:footerReference r:id="rId6"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745480" cy="834517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9"/>
                    <a:stretch>
                      <a:fillRect/>
                    </a:stretch>
                  </pic:blipFill>
                  <pic:spPr>
                    <a:xfrm>
                      <a:off x="0" y="0"/>
                      <a:ext cx="5745480" cy="8345170"/>
                    </a:xfrm>
                    <a:prstGeom prst="rect">
                      <a:avLst/>
                    </a:prstGeom>
                    <a:noFill/>
                    <a:ln>
                      <a:miter/>
                    </a:ln>
                  </pic:spPr>
                </pic:pic>
              </a:graphicData>
            </a:graphic>
          </wp:inline>
        </w:drawing>
      </w:r>
    </w:p>
    <w:p>
      <w:pPr>
        <w:rPr>
          <w:rFonts w:hint="default"/>
        </w:rPr>
        <w:sectPr>
          <w:footerReference r:id="rId8"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745480" cy="834517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11"/>
                    <a:stretch>
                      <a:fillRect/>
                    </a:stretch>
                  </pic:blipFill>
                  <pic:spPr>
                    <a:xfrm>
                      <a:off x="0" y="0"/>
                      <a:ext cx="5745480" cy="8345170"/>
                    </a:xfrm>
                    <a:prstGeom prst="rect">
                      <a:avLst/>
                    </a:prstGeom>
                    <a:noFill/>
                    <a:ln>
                      <a:miter/>
                    </a:ln>
                  </pic:spPr>
                </pic:pic>
              </a:graphicData>
            </a:graphic>
          </wp:inline>
        </w:drawing>
      </w:r>
    </w:p>
    <w:p>
      <w:pPr>
        <w:rPr>
          <w:rFonts w:hint="default"/>
        </w:rPr>
        <w:sectPr>
          <w:footerReference r:id="rId10"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rPr>
        <w:drawing>
          <wp:inline distT="0" distB="0" distL="203200" distR="203200">
            <wp:extent cx="5753100" cy="854138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13"/>
                    <a:stretch>
                      <a:fillRect/>
                    </a:stretch>
                  </pic:blipFill>
                  <pic:spPr>
                    <a:xfrm>
                      <a:off x="0" y="0"/>
                      <a:ext cx="5753100" cy="8541385"/>
                    </a:xfrm>
                    <a:prstGeom prst="rect">
                      <a:avLst/>
                    </a:prstGeom>
                  </pic:spPr>
                </pic:pic>
              </a:graphicData>
            </a:graphic>
          </wp:inline>
        </w:drawing>
      </w:r>
    </w:p>
    <w:p>
      <w:pPr>
        <w:rPr>
          <w:rFonts w:hint="default"/>
        </w:rPr>
        <w:sectPr>
          <w:footerReference r:id="rId12"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745480" cy="8345170"/>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5"/>
                    <a:stretch>
                      <a:fillRect/>
                    </a:stretch>
                  </pic:blipFill>
                  <pic:spPr>
                    <a:xfrm>
                      <a:off x="0" y="0"/>
                      <a:ext cx="5745480" cy="8345170"/>
                    </a:xfrm>
                    <a:prstGeom prst="rect">
                      <a:avLst/>
                    </a:prstGeom>
                    <a:noFill/>
                    <a:ln>
                      <a:miter/>
                    </a:ln>
                  </pic:spPr>
                </pic:pic>
              </a:graphicData>
            </a:graphic>
          </wp:inline>
        </w:drawing>
      </w:r>
    </w:p>
    <w:p>
      <w:pPr>
        <w:rPr>
          <w:rFonts w:hint="default"/>
        </w:rPr>
        <w:sectPr>
          <w:footerReference r:id="rId14"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745480" cy="834517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7"/>
                    <a:stretch>
                      <a:fillRect/>
                    </a:stretch>
                  </pic:blipFill>
                  <pic:spPr>
                    <a:xfrm>
                      <a:off x="0" y="0"/>
                      <a:ext cx="5745480" cy="8345170"/>
                    </a:xfrm>
                    <a:prstGeom prst="rect">
                      <a:avLst/>
                    </a:prstGeom>
                    <a:noFill/>
                    <a:ln>
                      <a:miter/>
                    </a:ln>
                  </pic:spPr>
                </pic:pic>
              </a:graphicData>
            </a:graphic>
          </wp:inline>
        </w:drawing>
      </w:r>
    </w:p>
    <w:p>
      <w:pPr>
        <w:rPr>
          <w:rFonts w:hint="default"/>
        </w:rPr>
        <w:sectPr>
          <w:footerReference r:id="rId16"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745480" cy="8345170"/>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9"/>
                    <a:stretch>
                      <a:fillRect/>
                    </a:stretch>
                  </pic:blipFill>
                  <pic:spPr>
                    <a:xfrm>
                      <a:off x="0" y="0"/>
                      <a:ext cx="5745480" cy="8345170"/>
                    </a:xfrm>
                    <a:prstGeom prst="rect">
                      <a:avLst/>
                    </a:prstGeom>
                    <a:noFill/>
                    <a:ln>
                      <a:miter/>
                    </a:ln>
                  </pic:spPr>
                </pic:pic>
              </a:graphicData>
            </a:graphic>
          </wp:inline>
        </w:drawing>
      </w:r>
    </w:p>
    <w:p>
      <w:pPr>
        <w:rPr>
          <w:rFonts w:hint="default"/>
        </w:rPr>
        <w:sectPr>
          <w:footerReference r:id="rId18"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745480" cy="8345170"/>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21"/>
                    <a:stretch>
                      <a:fillRect/>
                    </a:stretch>
                  </pic:blipFill>
                  <pic:spPr>
                    <a:xfrm>
                      <a:off x="0" y="0"/>
                      <a:ext cx="5745480" cy="8345170"/>
                    </a:xfrm>
                    <a:prstGeom prst="rect">
                      <a:avLst/>
                    </a:prstGeom>
                    <a:noFill/>
                    <a:ln>
                      <a:miter/>
                    </a:ln>
                  </pic:spPr>
                </pic:pic>
              </a:graphicData>
            </a:graphic>
          </wp:inline>
        </w:drawing>
      </w:r>
    </w:p>
    <w:p>
      <w:pPr>
        <w:rPr>
          <w:rFonts w:hint="default"/>
        </w:rPr>
        <w:sectPr>
          <w:footerReference r:id="rId20"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745480" cy="8345170"/>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23"/>
                    <a:stretch>
                      <a:fillRect/>
                    </a:stretch>
                  </pic:blipFill>
                  <pic:spPr>
                    <a:xfrm>
                      <a:off x="0" y="0"/>
                      <a:ext cx="5745480" cy="8345170"/>
                    </a:xfrm>
                    <a:prstGeom prst="rect">
                      <a:avLst/>
                    </a:prstGeom>
                    <a:noFill/>
                    <a:ln>
                      <a:miter/>
                    </a:ln>
                  </pic:spPr>
                </pic:pic>
              </a:graphicData>
            </a:graphic>
          </wp:inline>
        </w:drawing>
      </w:r>
    </w:p>
    <w:p>
      <w:pPr>
        <w:rPr>
          <w:rFonts w:hint="default"/>
        </w:rPr>
        <w:sectPr>
          <w:footerReference r:id="rId22"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rPr>
        <w:drawing>
          <wp:inline distT="0" distB="0" distL="203200" distR="203200">
            <wp:extent cx="5760085" cy="8178165"/>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25"/>
                    <a:stretch>
                      <a:fillRect/>
                    </a:stretch>
                  </pic:blipFill>
                  <pic:spPr>
                    <a:xfrm>
                      <a:off x="0" y="0"/>
                      <a:ext cx="5760085" cy="8178165"/>
                    </a:xfrm>
                    <a:prstGeom prst="rect"/>
                  </pic:spPr>
                </pic:pic>
              </a:graphicData>
            </a:graphic>
          </wp:inline>
        </w:drawing>
      </w:r>
    </w:p>
    <w:p>
      <w:pPr>
        <w:rPr>
          <w:rFonts w:hint="default"/>
        </w:rPr>
        <w:sectPr>
          <w:footerReference r:id="rId24"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745480" cy="8345170"/>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27"/>
                    <a:stretch>
                      <a:fillRect/>
                    </a:stretch>
                  </pic:blipFill>
                  <pic:spPr>
                    <a:xfrm>
                      <a:off x="0" y="0"/>
                      <a:ext cx="5745480" cy="8345170"/>
                    </a:xfrm>
                    <a:prstGeom prst="rect">
                      <a:avLst/>
                    </a:prstGeom>
                    <a:noFill/>
                    <a:ln>
                      <a:miter/>
                    </a:ln>
                  </pic:spPr>
                </pic:pic>
              </a:graphicData>
            </a:graphic>
          </wp:inline>
        </w:drawing>
      </w:r>
    </w:p>
    <w:p>
      <w:pPr>
        <w:rPr>
          <w:rFonts w:hint="default"/>
        </w:rPr>
        <w:sectPr>
          <w:footerReference r:id="rId26"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745480" cy="8345170"/>
            <wp:effectExtent l="0" t="0" r="0" b="0"/>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29"/>
                    <a:stretch>
                      <a:fillRect/>
                    </a:stretch>
                  </pic:blipFill>
                  <pic:spPr>
                    <a:xfrm>
                      <a:off x="0" y="0"/>
                      <a:ext cx="5745480" cy="8345170"/>
                    </a:xfrm>
                    <a:prstGeom prst="rect">
                      <a:avLst/>
                    </a:prstGeom>
                    <a:noFill/>
                    <a:ln>
                      <a:miter/>
                    </a:ln>
                  </pic:spPr>
                </pic:pic>
              </a:graphicData>
            </a:graphic>
          </wp:inline>
        </w:drawing>
      </w:r>
    </w:p>
    <w:p>
      <w:pPr>
        <w:rPr>
          <w:rFonts w:hint="default"/>
        </w:rPr>
        <w:sectPr>
          <w:footerReference r:id="rId28"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745480" cy="8345170"/>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31"/>
                    <a:stretch>
                      <a:fillRect/>
                    </a:stretch>
                  </pic:blipFill>
                  <pic:spPr>
                    <a:xfrm>
                      <a:off x="0" y="0"/>
                      <a:ext cx="5745480" cy="8345170"/>
                    </a:xfrm>
                    <a:prstGeom prst="rect">
                      <a:avLst/>
                    </a:prstGeom>
                    <a:noFill/>
                    <a:ln>
                      <a:miter/>
                    </a:ln>
                  </pic:spPr>
                </pic:pic>
              </a:graphicData>
            </a:graphic>
          </wp:inline>
        </w:drawing>
      </w:r>
    </w:p>
    <w:p>
      <w:pPr>
        <w:rPr>
          <w:rFonts w:hint="default"/>
        </w:rPr>
        <w:sectPr>
          <w:footerReference r:id="rId30"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745480" cy="8345170"/>
            <wp:effectExtent l="0" t="0" r="0" b="0"/>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33"/>
                    <a:stretch>
                      <a:fillRect/>
                    </a:stretch>
                  </pic:blipFill>
                  <pic:spPr>
                    <a:xfrm>
                      <a:off x="0" y="0"/>
                      <a:ext cx="5745480" cy="8345170"/>
                    </a:xfrm>
                    <a:prstGeom prst="rect">
                      <a:avLst/>
                    </a:prstGeom>
                    <a:noFill/>
                    <a:ln>
                      <a:miter/>
                    </a:ln>
                  </pic:spPr>
                </pic:pic>
              </a:graphicData>
            </a:graphic>
          </wp:inline>
        </w:drawing>
      </w:r>
    </w:p>
    <w:p>
      <w:pPr>
        <w:rPr>
          <w:rFonts w:hint="default"/>
        </w:rPr>
        <w:sectPr>
          <w:footerReference r:id="rId32"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745480" cy="8345170"/>
            <wp:effectExtent l="0" t="0" r="0" b="0"/>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35"/>
                    <a:stretch>
                      <a:fillRect/>
                    </a:stretch>
                  </pic:blipFill>
                  <pic:spPr>
                    <a:xfrm>
                      <a:off x="0" y="0"/>
                      <a:ext cx="5745480" cy="8345170"/>
                    </a:xfrm>
                    <a:prstGeom prst="rect">
                      <a:avLst/>
                    </a:prstGeom>
                    <a:noFill/>
                    <a:ln>
                      <a:miter/>
                    </a:ln>
                  </pic:spPr>
                </pic:pic>
              </a:graphicData>
            </a:graphic>
          </wp:inline>
        </w:drawing>
      </w:r>
    </w:p>
    <w:p>
      <w:pPr>
        <w:rPr>
          <w:rFonts w:hint="default"/>
        </w:rPr>
        <w:sectPr>
          <w:footerReference r:id="rId34"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745480" cy="8345170"/>
            <wp:effectExtent l="0" t="0" r="0" b="0"/>
            <wp:docPr id="1041" name="オブジェクト 0"/>
            <a:graphic xmlns:a="http://schemas.openxmlformats.org/drawingml/2006/main">
              <a:graphicData uri="http://schemas.openxmlformats.org/drawingml/2006/picture">
                <pic:pic xmlns:pic="http://schemas.openxmlformats.org/drawingml/2006/picture">
                  <pic:nvPicPr>
                    <pic:cNvPr id="1041" name="オブジェクト 0"/>
                    <pic:cNvPicPr>
                      <a:picLocks noChangeAspect="1"/>
                    </pic:cNvPicPr>
                  </pic:nvPicPr>
                  <pic:blipFill>
                    <a:blip r:embed="rId37"/>
                    <a:stretch>
                      <a:fillRect/>
                    </a:stretch>
                  </pic:blipFill>
                  <pic:spPr>
                    <a:xfrm>
                      <a:off x="0" y="0"/>
                      <a:ext cx="5745480" cy="8345170"/>
                    </a:xfrm>
                    <a:prstGeom prst="rect">
                      <a:avLst/>
                    </a:prstGeom>
                    <a:noFill/>
                    <a:ln>
                      <a:miter/>
                    </a:ln>
                  </pic:spPr>
                </pic:pic>
              </a:graphicData>
            </a:graphic>
          </wp:inline>
        </w:drawing>
      </w:r>
    </w:p>
    <w:p>
      <w:pPr>
        <w:rPr>
          <w:rFonts w:hint="default"/>
        </w:rPr>
        <w:sectPr>
          <w:footerReference r:id="rId36"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745480" cy="8345170"/>
            <wp:effectExtent l="0" t="0" r="0" b="0"/>
            <wp:docPr id="1042" name="オブジェクト 0"/>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39"/>
                    <a:stretch>
                      <a:fillRect/>
                    </a:stretch>
                  </pic:blipFill>
                  <pic:spPr>
                    <a:xfrm>
                      <a:off x="0" y="0"/>
                      <a:ext cx="5745480" cy="8345170"/>
                    </a:xfrm>
                    <a:prstGeom prst="rect">
                      <a:avLst/>
                    </a:prstGeom>
                    <a:noFill/>
                    <a:ln>
                      <a:miter/>
                    </a:ln>
                  </pic:spPr>
                </pic:pic>
              </a:graphicData>
            </a:graphic>
          </wp:inline>
        </w:drawing>
      </w:r>
    </w:p>
    <w:p>
      <w:pPr>
        <w:rPr>
          <w:rFonts w:hint="default"/>
        </w:rPr>
        <w:sectPr>
          <w:footerReference r:id="rId38"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745480" cy="8345170"/>
            <wp:effectExtent l="0" t="0" r="0" b="0"/>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41"/>
                    <a:stretch>
                      <a:fillRect/>
                    </a:stretch>
                  </pic:blipFill>
                  <pic:spPr>
                    <a:xfrm>
                      <a:off x="0" y="0"/>
                      <a:ext cx="5745480" cy="8345170"/>
                    </a:xfrm>
                    <a:prstGeom prst="rect">
                      <a:avLst/>
                    </a:prstGeom>
                    <a:noFill/>
                    <a:ln>
                      <a:miter/>
                    </a:ln>
                  </pic:spPr>
                </pic:pic>
              </a:graphicData>
            </a:graphic>
          </wp:inline>
        </w:drawing>
      </w:r>
    </w:p>
    <w:p>
      <w:pPr>
        <w:rPr>
          <w:rFonts w:hint="default"/>
        </w:rPr>
        <w:sectPr>
          <w:footerReference r:id="rId40" w:type="default"/>
          <w:pgSz w:w="11905" w:h="16837"/>
          <w:pgMar w:top="1984" w:right="1417" w:bottom="1700" w:left="1417" w:header="720" w:footer="720" w:gutter="0"/>
          <w:cols w:space="720"/>
          <w:textDirection w:val="lrTb"/>
          <w:docGrid w:type="linesAndChars" w:linePitch="328" w:charSpace="819"/>
        </w:sectPr>
      </w:pPr>
    </w:p>
    <w:p>
      <w:pPr>
        <w:pStyle w:val="0"/>
        <w:spacing w:line="36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745480" cy="8345170"/>
            <wp:effectExtent l="0" t="0" r="0" b="0"/>
            <wp:docPr id="1044" name="オブジェクト 0"/>
            <a:graphic xmlns:a="http://schemas.openxmlformats.org/drawingml/2006/main">
              <a:graphicData uri="http://schemas.openxmlformats.org/drawingml/2006/picture">
                <pic:pic xmlns:pic="http://schemas.openxmlformats.org/drawingml/2006/picture">
                  <pic:nvPicPr>
                    <pic:cNvPr id="1044" name="オブジェクト 0"/>
                    <pic:cNvPicPr>
                      <a:picLocks noChangeAspect="1"/>
                    </pic:cNvPicPr>
                  </pic:nvPicPr>
                  <pic:blipFill>
                    <a:blip r:embed="rId43"/>
                    <a:stretch>
                      <a:fillRect/>
                    </a:stretch>
                  </pic:blipFill>
                  <pic:spPr>
                    <a:xfrm>
                      <a:off x="0" y="0"/>
                      <a:ext cx="5745480" cy="8345170"/>
                    </a:xfrm>
                    <a:prstGeom prst="rect">
                      <a:avLst/>
                    </a:prstGeom>
                    <a:noFill/>
                    <a:ln>
                      <a:miter/>
                    </a:ln>
                  </pic:spPr>
                </pic:pic>
              </a:graphicData>
            </a:graphic>
          </wp:inline>
        </w:drawing>
      </w:r>
      <w:bookmarkStart w:id="0" w:name="_GoBack"/>
      <w:bookmarkEnd w:id="0"/>
      <w:bookmarkStart w:id="1" w:name="last"/>
      <w:bookmarkEnd w:id="1"/>
    </w:p>
    <w:sectPr>
      <w:footerReference r:id="rId42" w:type="default"/>
      <w:pgSz w:w="11905" w:h="16837"/>
      <w:pgMar w:top="1984" w:right="1417" w:bottom="1700" w:left="1417" w:header="720" w:footer="720" w:gutter="0"/>
      <w:cols w:space="720"/>
      <w:textDirection w:val="lrTb"/>
      <w:docGrid w:type="linesAndChars" w:linePitch="328"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8</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17</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18</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1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19</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1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20</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1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21</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1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22</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1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23</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1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24</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1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25</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1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26</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9</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2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27</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10</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11</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12</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13</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14</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15</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color="auto"/>
      </w:rPr>
      <w:t>16</w:t>
    </w:r>
    <w:r>
      <w:rPr>
        <w:rFonts w:hint="eastAsia"/>
      </w:rPr>
      <w:fldChar w:fldCharType="end"/>
    </w:r>
    <w:r>
      <w:rPr>
        <w:rFonts w:hint="default" w:ascii="Century" w:hAnsi="Century" w:eastAsia="ＭＳ 明朝"/>
        <w:b w:val="0"/>
        <w:i w:val="0"/>
        <w:strike w:val="0"/>
        <w:color w:val="000000"/>
        <w:sz w:val="21"/>
        <w:u w:val="none" w:color="auto"/>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27</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2"/>
  <w:drawingGridVerticalSpacing w:val="328"/>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png" /><Relationship Id="rId8" Type="http://schemas.openxmlformats.org/officeDocument/2006/relationships/footer" Target="footer3.xml" /><Relationship Id="rId9" Type="http://schemas.openxmlformats.org/officeDocument/2006/relationships/image" Target="media/image2.png" /><Relationship Id="rId10" Type="http://schemas.openxmlformats.org/officeDocument/2006/relationships/footer" Target="footer4.xml" /><Relationship Id="rId11" Type="http://schemas.openxmlformats.org/officeDocument/2006/relationships/image" Target="media/image3.png" /><Relationship Id="rId12" Type="http://schemas.openxmlformats.org/officeDocument/2006/relationships/footer" Target="footer5.xml" /><Relationship Id="rId13" Type="http://schemas.openxmlformats.org/officeDocument/2006/relationships/image" Target="media/image4.emf" /><Relationship Id="rId14" Type="http://schemas.openxmlformats.org/officeDocument/2006/relationships/footer" Target="footer6.xml" /><Relationship Id="rId15" Type="http://schemas.openxmlformats.org/officeDocument/2006/relationships/image" Target="media/image5.png" /><Relationship Id="rId16" Type="http://schemas.openxmlformats.org/officeDocument/2006/relationships/footer" Target="footer7.xml" /><Relationship Id="rId17" Type="http://schemas.openxmlformats.org/officeDocument/2006/relationships/image" Target="media/image6.png" /><Relationship Id="rId18" Type="http://schemas.openxmlformats.org/officeDocument/2006/relationships/footer" Target="footer8.xml" /><Relationship Id="rId19" Type="http://schemas.openxmlformats.org/officeDocument/2006/relationships/image" Target="media/image7.png" /><Relationship Id="rId20" Type="http://schemas.openxmlformats.org/officeDocument/2006/relationships/footer" Target="footer9.xml" /><Relationship Id="rId21" Type="http://schemas.openxmlformats.org/officeDocument/2006/relationships/image" Target="media/image8.png" /><Relationship Id="rId22" Type="http://schemas.openxmlformats.org/officeDocument/2006/relationships/footer" Target="footer10.xml" /><Relationship Id="rId23" Type="http://schemas.openxmlformats.org/officeDocument/2006/relationships/image" Target="media/image9.png" /><Relationship Id="rId24" Type="http://schemas.openxmlformats.org/officeDocument/2006/relationships/footer" Target="footer11.xml" /><Relationship Id="rId25" Type="http://schemas.openxmlformats.org/officeDocument/2006/relationships/image" Target="media/image10.emf" /><Relationship Id="rId26" Type="http://schemas.openxmlformats.org/officeDocument/2006/relationships/footer" Target="footer12.xml" /><Relationship Id="rId27" Type="http://schemas.openxmlformats.org/officeDocument/2006/relationships/image" Target="media/image11.png" /><Relationship Id="rId28" Type="http://schemas.openxmlformats.org/officeDocument/2006/relationships/footer" Target="footer13.xml" /><Relationship Id="rId29" Type="http://schemas.openxmlformats.org/officeDocument/2006/relationships/image" Target="media/image12.png" /><Relationship Id="rId30" Type="http://schemas.openxmlformats.org/officeDocument/2006/relationships/footer" Target="footer14.xml" /><Relationship Id="rId31" Type="http://schemas.openxmlformats.org/officeDocument/2006/relationships/image" Target="media/image13.png" /><Relationship Id="rId32" Type="http://schemas.openxmlformats.org/officeDocument/2006/relationships/footer" Target="footer15.xml" /><Relationship Id="rId33" Type="http://schemas.openxmlformats.org/officeDocument/2006/relationships/image" Target="media/image14.png" /><Relationship Id="rId34" Type="http://schemas.openxmlformats.org/officeDocument/2006/relationships/footer" Target="footer16.xml" /><Relationship Id="rId35" Type="http://schemas.openxmlformats.org/officeDocument/2006/relationships/image" Target="media/image15.png" /><Relationship Id="rId36" Type="http://schemas.openxmlformats.org/officeDocument/2006/relationships/footer" Target="footer17.xml" /><Relationship Id="rId37" Type="http://schemas.openxmlformats.org/officeDocument/2006/relationships/image" Target="media/image16.png" /><Relationship Id="rId38" Type="http://schemas.openxmlformats.org/officeDocument/2006/relationships/footer" Target="footer18.xml" /><Relationship Id="rId39" Type="http://schemas.openxmlformats.org/officeDocument/2006/relationships/image" Target="media/image17.png" /><Relationship Id="rId40" Type="http://schemas.openxmlformats.org/officeDocument/2006/relationships/footer" Target="footer19.xml" /><Relationship Id="rId41" Type="http://schemas.openxmlformats.org/officeDocument/2006/relationships/image" Target="media/image18.png" /><Relationship Id="rId42" Type="http://schemas.openxmlformats.org/officeDocument/2006/relationships/footer" Target="footer20.xml" /><Relationship Id="rId43" Type="http://schemas.openxmlformats.org/officeDocument/2006/relationships/image" Target="media/image19.png" /><Relationship Id="rId44"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367</TotalTime>
  <Pages>27</Pages>
  <Words>67</Words>
  <Characters>5886</Characters>
  <Application>JUST Note</Application>
  <Lines>2242</Lines>
  <Paragraphs>217</Paragraphs>
  <CharactersWithSpaces>5976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黒田　典子</cp:lastModifiedBy>
  <cp:lastPrinted>2021-07-28T00:21:17Z</cp:lastPrinted>
  <dcterms:created xsi:type="dcterms:W3CDTF">2021-07-27T02:22:00Z</dcterms:created>
  <dcterms:modified xsi:type="dcterms:W3CDTF">2021-07-27T08:30:31Z</dcterms:modified>
  <cp:revision>1</cp:revision>
</cp:coreProperties>
</file>