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-812800</wp:posOffset>
                </wp:positionV>
                <wp:extent cx="1666875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（様式第２－３－２号）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4pt;mso-position-vertical-relative:text;mso-position-horizontal-relative:text;position:absolute;height:18.75pt;width:131.25pt;margin-left:-30.3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（様式第２－３－２号）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申請に係る土地の代替性の検討について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転用事業の候補地を検討した結果，次の土地では事業目的が達成できないため，①の土地により農地転用の許可を申請しました。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○検討結果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7"/>
        <w:gridCol w:w="1081"/>
        <w:gridCol w:w="899"/>
        <w:gridCol w:w="1131"/>
        <w:gridCol w:w="824"/>
        <w:gridCol w:w="1106"/>
        <w:gridCol w:w="900"/>
        <w:gridCol w:w="900"/>
        <w:gridCol w:w="1412"/>
      </w:tblGrid>
      <w:tr>
        <w:trPr>
          <w:trHeight w:val="61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検討地（住所等）</w:t>
            </w: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農振農用地からの除外見込み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基盤整備事業の実施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事業目的が達成できない理由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</w:t>
            </w: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農地法施行規則第</w:t>
      </w:r>
      <w:r>
        <w:rPr>
          <w:rFonts w:hint="eastAsia" w:ascii="ＭＳ 明朝" w:hAnsi="ＭＳ 明朝"/>
        </w:rPr>
        <w:t>33</w:t>
      </w:r>
      <w:r>
        <w:rPr>
          <w:rFonts w:hint="eastAsia" w:ascii="ＭＳ 明朝" w:hAnsi="ＭＳ 明朝"/>
        </w:rPr>
        <w:t>条（地域の農業の振興に資する施設）各号，法第４条第６項第２号又は法第５条第２項第２号（第２種農地）による不許可の例外の場合に，転用申請に添付するものとする。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住宅地図等の図面を添付し，検討番号を記載すること。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「検討地」欄は「別図」の記載でも可。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４条転用の場合は，申請者が権利を有する土地を中心に代替性の検討をすること。</w:t>
      </w:r>
    </w:p>
    <w:p>
      <w:pPr>
        <w:pStyle w:val="0"/>
        <w:rPr>
          <w:rFonts w:hint="eastAsia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13773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72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【参考】農地法施行規則第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33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第１号　都市等との地域間交流を図るために設置される施設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第２号　農業従事者の就業機会の増大に寄与する施設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第３号　農業従事者の良好な生活環境を確保するための施設</w:t>
                            </w:r>
                          </w:p>
                          <w:p>
                            <w:pPr>
                              <w:pStyle w:val="0"/>
                              <w:ind w:left="856" w:hanging="856" w:hangingChars="428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.1399999999999999pt;mso-position-vertical-relative:text;mso-position-horizontal-relative:text;position:absolute;height:108.45pt;width:423pt;margin-left:0pt;z-index:2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【参考】農地法施行規則第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33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条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第１号　都市等との地域間交流を図るために設置される施設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第２号　農業従事者の就業機会の増大に寄与する施設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第３号　農業従事者の良好な生活環境を確保するための施設</w:t>
                      </w:r>
                    </w:p>
                    <w:p>
                      <w:pPr>
                        <w:pStyle w:val="0"/>
                        <w:ind w:left="856" w:hanging="856" w:hangingChars="428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申請に係る土地の代替性の検討について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C34CD6A"/>
    <w:lvl w:ilvl="0" w:tplc="ABEE6414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65</Words>
  <Characters>371</Characters>
  <Application>JUST Note</Application>
  <Lines>3</Lines>
  <Paragraphs>1</Paragraphs>
  <Company>広島県北広島町農業委員会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（第２－３－２号）</dc:title>
  <dc:creator>広島県北広島町農業委員会</dc:creator>
  <cp:lastModifiedBy>農業委員会</cp:lastModifiedBy>
  <cp:lastPrinted>2020-03-24T12:01:00Z</cp:lastPrinted>
  <dcterms:created xsi:type="dcterms:W3CDTF">2020-04-21T08:27:00Z</dcterms:created>
  <dcterms:modified xsi:type="dcterms:W3CDTF">2020-04-21T08:30:46Z</dcterms:modified>
  <cp:revision>10</cp:revision>
</cp:coreProperties>
</file>